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95AFCE" w14:textId="004336FF" w:rsidR="001442EE" w:rsidRPr="00DD39D6" w:rsidRDefault="00C60239" w:rsidP="00DD39D6">
      <w:pPr>
        <w:jc w:val="both"/>
        <w:rPr>
          <w:rFonts w:ascii="Arial" w:hAnsi="Arial" w:cs="Arial"/>
          <w:b/>
          <w:sz w:val="22"/>
          <w:szCs w:val="22"/>
        </w:rPr>
      </w:pPr>
      <w:commentRangeStart w:id="0"/>
      <w:r>
        <w:rPr>
          <w:rFonts w:ascii="Arial" w:hAnsi="Arial" w:cs="Arial"/>
          <w:b/>
          <w:sz w:val="22"/>
          <w:szCs w:val="22"/>
        </w:rPr>
        <w:t>BUDGET JUSTIFICATION</w:t>
      </w:r>
      <w:commentRangeEnd w:id="0"/>
      <w:r w:rsidR="006E035D">
        <w:rPr>
          <w:rStyle w:val="CommentReference"/>
        </w:rPr>
        <w:commentReference w:id="0"/>
      </w:r>
      <w:r w:rsidR="00001771">
        <w:rPr>
          <w:rFonts w:ascii="Arial" w:hAnsi="Arial" w:cs="Arial"/>
          <w:b/>
          <w:sz w:val="22"/>
          <w:szCs w:val="22"/>
        </w:rPr>
        <w:tab/>
      </w:r>
      <w:r w:rsidR="005E3FE5" w:rsidRPr="005E3FE5">
        <w:rPr>
          <w:rFonts w:ascii="Arial" w:hAnsi="Arial" w:cs="Arial"/>
          <w:b/>
          <w:sz w:val="22"/>
          <w:szCs w:val="22"/>
          <w:highlight w:val="yellow"/>
        </w:rPr>
        <w:t>[PI’s name]</w:t>
      </w:r>
      <w:r w:rsidR="007562AB">
        <w:rPr>
          <w:rFonts w:ascii="Arial" w:hAnsi="Arial" w:cs="Arial"/>
          <w:b/>
          <w:sz w:val="22"/>
          <w:szCs w:val="22"/>
        </w:rPr>
        <w:t xml:space="preserve">, Syracuse University </w:t>
      </w:r>
    </w:p>
    <w:p w14:paraId="031F4E2F" w14:textId="27CAD728" w:rsidR="00822266" w:rsidRDefault="00822266" w:rsidP="00DD39D6">
      <w:pPr>
        <w:jc w:val="both"/>
        <w:rPr>
          <w:rFonts w:ascii="Arial" w:hAnsi="Arial" w:cs="Arial"/>
          <w:b/>
          <w:sz w:val="22"/>
          <w:szCs w:val="22"/>
        </w:rPr>
      </w:pPr>
    </w:p>
    <w:p w14:paraId="3189E56D" w14:textId="77777777" w:rsidR="00EB635E" w:rsidRDefault="00DF6D34" w:rsidP="00580EE1">
      <w:pPr>
        <w:jc w:val="both"/>
        <w:rPr>
          <w:rFonts w:ascii="Arial" w:hAnsi="Arial" w:cs="Arial"/>
          <w:sz w:val="22"/>
          <w:szCs w:val="22"/>
        </w:rPr>
      </w:pPr>
      <w:r>
        <w:rPr>
          <w:rFonts w:ascii="Arial" w:hAnsi="Arial" w:cs="Arial"/>
          <w:b/>
          <w:sz w:val="22"/>
          <w:szCs w:val="22"/>
        </w:rPr>
        <w:t xml:space="preserve">A. </w:t>
      </w:r>
      <w:r>
        <w:rPr>
          <w:rFonts w:ascii="Arial" w:hAnsi="Arial" w:cs="Arial"/>
          <w:b/>
          <w:sz w:val="22"/>
          <w:szCs w:val="22"/>
        </w:rPr>
        <w:tab/>
        <w:t>Salary and Wages – Senior/Key Personnel</w:t>
      </w:r>
      <w:r w:rsidR="00B269A2">
        <w:rPr>
          <w:rFonts w:ascii="Arial" w:hAnsi="Arial" w:cs="Arial"/>
          <w:b/>
          <w:sz w:val="22"/>
          <w:szCs w:val="22"/>
        </w:rPr>
        <w:t xml:space="preserve">. </w:t>
      </w:r>
      <w:r w:rsidR="00B269A2">
        <w:rPr>
          <w:rFonts w:ascii="Arial" w:hAnsi="Arial" w:cs="Arial"/>
          <w:bCs/>
          <w:sz w:val="22"/>
          <w:szCs w:val="22"/>
        </w:rPr>
        <w:t xml:space="preserve">The budget includes salary support for PI </w:t>
      </w:r>
      <w:r w:rsidR="005E3FE5" w:rsidRPr="005E3FE5">
        <w:rPr>
          <w:rFonts w:ascii="Arial" w:hAnsi="Arial" w:cs="Arial"/>
          <w:bCs/>
          <w:sz w:val="22"/>
          <w:szCs w:val="22"/>
          <w:highlight w:val="yellow"/>
        </w:rPr>
        <w:t>[first and last name]</w:t>
      </w:r>
      <w:r w:rsidR="00B269A2">
        <w:rPr>
          <w:rFonts w:ascii="Arial" w:hAnsi="Arial" w:cs="Arial"/>
          <w:bCs/>
          <w:sz w:val="22"/>
          <w:szCs w:val="22"/>
        </w:rPr>
        <w:t xml:space="preserve"> equal to </w:t>
      </w:r>
      <w:commentRangeStart w:id="1"/>
      <w:r w:rsidR="00B269A2">
        <w:rPr>
          <w:rFonts w:ascii="Arial" w:hAnsi="Arial" w:cs="Arial"/>
          <w:bCs/>
          <w:sz w:val="22"/>
          <w:szCs w:val="22"/>
        </w:rPr>
        <w:t>1 summer month in each year of the three-year funding period.</w:t>
      </w:r>
      <w:commentRangeEnd w:id="1"/>
      <w:r w:rsidR="00580EE1">
        <w:rPr>
          <w:rStyle w:val="CommentReference"/>
        </w:rPr>
        <w:commentReference w:id="1"/>
      </w:r>
      <w:r w:rsidR="00B269A2">
        <w:rPr>
          <w:rFonts w:ascii="Arial" w:hAnsi="Arial" w:cs="Arial"/>
          <w:bCs/>
          <w:sz w:val="22"/>
          <w:szCs w:val="22"/>
        </w:rPr>
        <w:t xml:space="preserve"> </w:t>
      </w:r>
      <w:r>
        <w:rPr>
          <w:rFonts w:ascii="Arial" w:hAnsi="Arial" w:cs="Arial"/>
          <w:sz w:val="22"/>
          <w:szCs w:val="22"/>
        </w:rPr>
        <w:t xml:space="preserve">As </w:t>
      </w:r>
      <w:r w:rsidR="00CB5BDD" w:rsidRPr="00CB5BDD">
        <w:rPr>
          <w:rFonts w:ascii="Arial" w:hAnsi="Arial" w:cs="Arial"/>
          <w:sz w:val="22"/>
          <w:szCs w:val="22"/>
        </w:rPr>
        <w:t>PI</w:t>
      </w:r>
      <w:r>
        <w:rPr>
          <w:rFonts w:ascii="Arial" w:hAnsi="Arial" w:cs="Arial"/>
          <w:sz w:val="22"/>
          <w:szCs w:val="22"/>
        </w:rPr>
        <w:t>,</w:t>
      </w:r>
      <w:r w:rsidR="00CB5BDD" w:rsidRPr="00CB5BDD">
        <w:rPr>
          <w:rFonts w:ascii="Arial" w:hAnsi="Arial" w:cs="Arial"/>
          <w:sz w:val="22"/>
          <w:szCs w:val="22"/>
        </w:rPr>
        <w:t xml:space="preserve"> </w:t>
      </w:r>
      <w:r w:rsidR="005E3FE5" w:rsidRPr="005E3FE5">
        <w:rPr>
          <w:rFonts w:ascii="Arial" w:hAnsi="Arial" w:cs="Arial"/>
          <w:sz w:val="22"/>
          <w:szCs w:val="22"/>
          <w:highlight w:val="yellow"/>
        </w:rPr>
        <w:t>[last name]</w:t>
      </w:r>
      <w:r w:rsidR="00CB5BDD" w:rsidRPr="00CB5BDD">
        <w:rPr>
          <w:rFonts w:ascii="Arial" w:hAnsi="Arial" w:cs="Arial"/>
          <w:sz w:val="22"/>
          <w:szCs w:val="22"/>
        </w:rPr>
        <w:t xml:space="preserve"> will be responsible for </w:t>
      </w:r>
      <w:commentRangeStart w:id="2"/>
      <w:r w:rsidR="00CB5BDD" w:rsidRPr="00CB5BDD">
        <w:rPr>
          <w:rFonts w:ascii="Arial" w:hAnsi="Arial" w:cs="Arial"/>
          <w:sz w:val="22"/>
          <w:szCs w:val="22"/>
        </w:rPr>
        <w:t>acquiring and managing data, conducting data analyses, preparing and submitting manuscripts for publication, and presenting the research at conferences.</w:t>
      </w:r>
      <w:r>
        <w:rPr>
          <w:rFonts w:ascii="Arial" w:hAnsi="Arial" w:cs="Arial"/>
          <w:sz w:val="22"/>
          <w:szCs w:val="22"/>
        </w:rPr>
        <w:t xml:space="preserve"> </w:t>
      </w:r>
      <w:commentRangeEnd w:id="2"/>
      <w:r w:rsidR="00D059D1">
        <w:rPr>
          <w:rStyle w:val="CommentReference"/>
        </w:rPr>
        <w:commentReference w:id="2"/>
      </w:r>
    </w:p>
    <w:p w14:paraId="26D2D1B2" w14:textId="77777777" w:rsidR="00EB635E" w:rsidRDefault="00EB635E" w:rsidP="00580EE1">
      <w:pPr>
        <w:jc w:val="both"/>
        <w:rPr>
          <w:rFonts w:ascii="Arial" w:hAnsi="Arial" w:cs="Arial"/>
          <w:sz w:val="22"/>
          <w:szCs w:val="22"/>
        </w:rPr>
      </w:pPr>
    </w:p>
    <w:p w14:paraId="4E06E76E" w14:textId="4357CBB1" w:rsidR="00580EE1" w:rsidRPr="00580EE1" w:rsidRDefault="0063028D" w:rsidP="00580EE1">
      <w:pPr>
        <w:jc w:val="both"/>
        <w:rPr>
          <w:rFonts w:ascii="Arial" w:hAnsi="Arial" w:cs="Arial"/>
          <w:sz w:val="22"/>
          <w:szCs w:val="22"/>
        </w:rPr>
      </w:pPr>
      <w:r w:rsidRPr="00CB5BDD">
        <w:rPr>
          <w:rFonts w:ascii="Arial" w:hAnsi="Arial" w:cs="Arial"/>
          <w:sz w:val="22"/>
          <w:szCs w:val="22"/>
        </w:rPr>
        <w:t>Syracuse University faculty</w:t>
      </w:r>
      <w:r w:rsidR="008C6F0E" w:rsidRPr="00CB5BDD">
        <w:rPr>
          <w:rFonts w:ascii="Arial" w:hAnsi="Arial" w:cs="Arial"/>
          <w:sz w:val="22"/>
          <w:szCs w:val="22"/>
        </w:rPr>
        <w:t xml:space="preserve"> appointments are for 8.5 months</w:t>
      </w:r>
      <w:r w:rsidR="001A54A9" w:rsidRPr="00CB5BDD">
        <w:rPr>
          <w:rFonts w:ascii="Arial" w:hAnsi="Arial" w:cs="Arial"/>
          <w:sz w:val="22"/>
          <w:szCs w:val="22"/>
        </w:rPr>
        <w:t xml:space="preserve">. </w:t>
      </w:r>
      <w:r w:rsidR="00302265" w:rsidRPr="00CB5BDD">
        <w:rPr>
          <w:rFonts w:ascii="Arial" w:hAnsi="Arial" w:cs="Arial"/>
          <w:sz w:val="22"/>
          <w:szCs w:val="22"/>
        </w:rPr>
        <w:t>Salaries</w:t>
      </w:r>
      <w:r w:rsidR="00C848C1" w:rsidRPr="00CB5BDD">
        <w:rPr>
          <w:rFonts w:ascii="Arial" w:hAnsi="Arial" w:cs="Arial"/>
          <w:sz w:val="22"/>
          <w:szCs w:val="22"/>
        </w:rPr>
        <w:t xml:space="preserve"> are calculated according to institutional base salaries, </w:t>
      </w:r>
      <w:r w:rsidR="00302265" w:rsidRPr="00CB5BDD">
        <w:rPr>
          <w:rFonts w:ascii="Arial" w:hAnsi="Arial" w:cs="Arial"/>
          <w:sz w:val="22"/>
          <w:szCs w:val="22"/>
        </w:rPr>
        <w:t>escalated by 3.0% for budget</w:t>
      </w:r>
      <w:r w:rsidR="001A54A9" w:rsidRPr="00CB5BDD">
        <w:rPr>
          <w:rFonts w:ascii="Arial" w:hAnsi="Arial" w:cs="Arial"/>
          <w:sz w:val="22"/>
          <w:szCs w:val="22"/>
        </w:rPr>
        <w:t xml:space="preserve"> </w:t>
      </w:r>
      <w:r w:rsidR="00302265" w:rsidRPr="00CB5BDD">
        <w:rPr>
          <w:rFonts w:ascii="Arial" w:hAnsi="Arial" w:cs="Arial"/>
          <w:sz w:val="22"/>
          <w:szCs w:val="22"/>
        </w:rPr>
        <w:t>preparation purpose</w:t>
      </w:r>
      <w:r w:rsidR="00DF6D34">
        <w:rPr>
          <w:rFonts w:ascii="Arial" w:hAnsi="Arial" w:cs="Arial"/>
          <w:sz w:val="22"/>
          <w:szCs w:val="22"/>
        </w:rPr>
        <w:t>s. Actual salaries in place during the time of the award would be charged.</w:t>
      </w:r>
      <w:r w:rsidR="00580EE1">
        <w:rPr>
          <w:rFonts w:ascii="Arial" w:hAnsi="Arial" w:cs="Arial"/>
          <w:sz w:val="22"/>
          <w:szCs w:val="22"/>
        </w:rPr>
        <w:t xml:space="preserve"> Syracuse University </w:t>
      </w:r>
      <w:r w:rsidR="00EB635E">
        <w:rPr>
          <w:rFonts w:ascii="Arial" w:hAnsi="Arial" w:cs="Arial"/>
          <w:sz w:val="22"/>
          <w:szCs w:val="22"/>
        </w:rPr>
        <w:t>uses its fiscal year</w:t>
      </w:r>
      <w:r w:rsidR="00D059D1">
        <w:rPr>
          <w:rFonts w:ascii="Arial" w:hAnsi="Arial" w:cs="Arial"/>
          <w:sz w:val="22"/>
          <w:szCs w:val="22"/>
        </w:rPr>
        <w:t xml:space="preserve">, </w:t>
      </w:r>
      <w:r w:rsidR="00EB635E">
        <w:rPr>
          <w:rFonts w:ascii="Arial" w:hAnsi="Arial" w:cs="Arial"/>
          <w:sz w:val="22"/>
          <w:szCs w:val="22"/>
        </w:rPr>
        <w:t>July 1 to June 30</w:t>
      </w:r>
      <w:r w:rsidR="00D059D1">
        <w:rPr>
          <w:rFonts w:ascii="Arial" w:hAnsi="Arial" w:cs="Arial"/>
          <w:sz w:val="22"/>
          <w:szCs w:val="22"/>
        </w:rPr>
        <w:t>,</w:t>
      </w:r>
      <w:r w:rsidR="00EB635E">
        <w:rPr>
          <w:rFonts w:ascii="Arial" w:hAnsi="Arial" w:cs="Arial"/>
          <w:sz w:val="22"/>
          <w:szCs w:val="22"/>
        </w:rPr>
        <w:t xml:space="preserve"> </w:t>
      </w:r>
      <w:r w:rsidR="00580EE1" w:rsidRPr="00580EE1">
        <w:rPr>
          <w:rFonts w:ascii="Arial" w:hAnsi="Arial" w:cs="Arial"/>
          <w:sz w:val="22"/>
          <w:szCs w:val="22"/>
        </w:rPr>
        <w:t xml:space="preserve">for the purpose of calculating the two-month limit on salary </w:t>
      </w:r>
      <w:r w:rsidR="00D059D1">
        <w:rPr>
          <w:rFonts w:ascii="Arial" w:hAnsi="Arial" w:cs="Arial"/>
          <w:sz w:val="22"/>
          <w:szCs w:val="22"/>
        </w:rPr>
        <w:t xml:space="preserve">support requested </w:t>
      </w:r>
      <w:r w:rsidR="00580EE1" w:rsidRPr="00580EE1">
        <w:rPr>
          <w:rFonts w:ascii="Arial" w:hAnsi="Arial" w:cs="Arial"/>
          <w:sz w:val="22"/>
          <w:szCs w:val="22"/>
        </w:rPr>
        <w:t>for senior personne</w:t>
      </w:r>
      <w:r w:rsidR="00EB635E">
        <w:rPr>
          <w:rFonts w:ascii="Arial" w:hAnsi="Arial" w:cs="Arial"/>
          <w:sz w:val="22"/>
          <w:szCs w:val="22"/>
        </w:rPr>
        <w:t xml:space="preserve">l. </w:t>
      </w:r>
    </w:p>
    <w:p w14:paraId="5C6B0803" w14:textId="111F3156" w:rsidR="00DF6D34" w:rsidRDefault="00DF6D34" w:rsidP="00302265">
      <w:pPr>
        <w:jc w:val="both"/>
        <w:rPr>
          <w:rFonts w:ascii="Arial" w:hAnsi="Arial" w:cs="Arial"/>
          <w:sz w:val="22"/>
          <w:szCs w:val="22"/>
        </w:rPr>
      </w:pPr>
    </w:p>
    <w:p w14:paraId="6D8A0646" w14:textId="74F8966E" w:rsidR="00CB5BDD" w:rsidRPr="00CB5BDD" w:rsidRDefault="00DF6D34" w:rsidP="00B269A2">
      <w:pPr>
        <w:jc w:val="both"/>
        <w:rPr>
          <w:rFonts w:ascii="Arial" w:hAnsi="Arial" w:cs="Arial"/>
          <w:sz w:val="22"/>
          <w:szCs w:val="22"/>
        </w:rPr>
      </w:pPr>
      <w:r w:rsidRPr="00DF6D34">
        <w:rPr>
          <w:rFonts w:ascii="Arial" w:hAnsi="Arial" w:cs="Arial"/>
          <w:b/>
          <w:bCs/>
          <w:sz w:val="22"/>
          <w:szCs w:val="22"/>
        </w:rPr>
        <w:t xml:space="preserve">B. </w:t>
      </w:r>
      <w:r w:rsidRPr="00DF6D34">
        <w:rPr>
          <w:rFonts w:ascii="Arial" w:hAnsi="Arial" w:cs="Arial"/>
          <w:b/>
          <w:bCs/>
          <w:sz w:val="22"/>
          <w:szCs w:val="22"/>
        </w:rPr>
        <w:tab/>
        <w:t>Salaries and Wages – Other Personnel</w:t>
      </w:r>
      <w:r w:rsidR="00B269A2">
        <w:rPr>
          <w:rFonts w:ascii="Arial" w:hAnsi="Arial" w:cs="Arial"/>
          <w:b/>
          <w:bCs/>
          <w:sz w:val="22"/>
          <w:szCs w:val="22"/>
        </w:rPr>
        <w:t>.</w:t>
      </w:r>
      <w:r w:rsidRPr="00DF6D34">
        <w:rPr>
          <w:rFonts w:ascii="Arial" w:hAnsi="Arial" w:cs="Arial"/>
          <w:b/>
          <w:bCs/>
          <w:sz w:val="22"/>
          <w:szCs w:val="22"/>
        </w:rPr>
        <w:t xml:space="preserve"> </w:t>
      </w:r>
      <w:r w:rsidR="00CB5BDD">
        <w:rPr>
          <w:rFonts w:ascii="Arial" w:hAnsi="Arial" w:cs="Arial"/>
          <w:sz w:val="22"/>
          <w:szCs w:val="22"/>
        </w:rPr>
        <w:t>The budget includes funds for a</w:t>
      </w:r>
      <w:r w:rsidR="00CB5BDD" w:rsidRPr="00CB5BDD">
        <w:rPr>
          <w:rFonts w:ascii="Arial" w:hAnsi="Arial" w:cs="Arial"/>
          <w:sz w:val="22"/>
          <w:szCs w:val="22"/>
        </w:rPr>
        <w:t xml:space="preserve"> nine-month, full-time </w:t>
      </w:r>
      <w:r>
        <w:rPr>
          <w:rFonts w:ascii="Arial" w:hAnsi="Arial" w:cs="Arial"/>
          <w:sz w:val="22"/>
          <w:szCs w:val="22"/>
        </w:rPr>
        <w:t xml:space="preserve">(20 </w:t>
      </w:r>
      <w:proofErr w:type="spellStart"/>
      <w:r>
        <w:rPr>
          <w:rFonts w:ascii="Arial" w:hAnsi="Arial" w:cs="Arial"/>
          <w:sz w:val="22"/>
          <w:szCs w:val="22"/>
        </w:rPr>
        <w:t>hrs</w:t>
      </w:r>
      <w:proofErr w:type="spellEnd"/>
      <w:r>
        <w:rPr>
          <w:rFonts w:ascii="Arial" w:hAnsi="Arial" w:cs="Arial"/>
          <w:sz w:val="22"/>
          <w:szCs w:val="22"/>
        </w:rPr>
        <w:t>/</w:t>
      </w:r>
      <w:proofErr w:type="spellStart"/>
      <w:r>
        <w:rPr>
          <w:rFonts w:ascii="Arial" w:hAnsi="Arial" w:cs="Arial"/>
          <w:sz w:val="22"/>
          <w:szCs w:val="22"/>
        </w:rPr>
        <w:t>wk</w:t>
      </w:r>
      <w:proofErr w:type="spellEnd"/>
      <w:r>
        <w:rPr>
          <w:rFonts w:ascii="Arial" w:hAnsi="Arial" w:cs="Arial"/>
          <w:sz w:val="22"/>
          <w:szCs w:val="22"/>
        </w:rPr>
        <w:t xml:space="preserve">) </w:t>
      </w:r>
      <w:r w:rsidR="00CB5BDD" w:rsidRPr="00CB5BDD">
        <w:rPr>
          <w:rFonts w:ascii="Arial" w:hAnsi="Arial" w:cs="Arial"/>
          <w:sz w:val="22"/>
          <w:szCs w:val="22"/>
        </w:rPr>
        <w:t>graduate research assistant</w:t>
      </w:r>
      <w:r>
        <w:rPr>
          <w:rFonts w:ascii="Arial" w:hAnsi="Arial" w:cs="Arial"/>
          <w:sz w:val="22"/>
          <w:szCs w:val="22"/>
        </w:rPr>
        <w:t xml:space="preserve"> in each academic year</w:t>
      </w:r>
      <w:r w:rsidR="00B269A2">
        <w:rPr>
          <w:rFonts w:ascii="Arial" w:hAnsi="Arial" w:cs="Arial"/>
          <w:sz w:val="22"/>
          <w:szCs w:val="22"/>
        </w:rPr>
        <w:t xml:space="preserve"> of the </w:t>
      </w:r>
      <w:r>
        <w:rPr>
          <w:rFonts w:ascii="Arial" w:hAnsi="Arial" w:cs="Arial"/>
          <w:sz w:val="22"/>
          <w:szCs w:val="22"/>
        </w:rPr>
        <w:t>three-year funding period</w:t>
      </w:r>
      <w:r w:rsidR="00CB5BDD" w:rsidRPr="00CB5BDD">
        <w:rPr>
          <w:rFonts w:ascii="Arial" w:hAnsi="Arial" w:cs="Arial"/>
          <w:sz w:val="22"/>
          <w:szCs w:val="22"/>
        </w:rPr>
        <w:t xml:space="preserve">. The graduate assistant will </w:t>
      </w:r>
      <w:r w:rsidR="00CB5BDD">
        <w:rPr>
          <w:rFonts w:ascii="Arial" w:hAnsi="Arial" w:cs="Arial"/>
          <w:sz w:val="22"/>
          <w:szCs w:val="22"/>
        </w:rPr>
        <w:t>…</w:t>
      </w:r>
    </w:p>
    <w:p w14:paraId="4F226D87" w14:textId="77777777" w:rsidR="00CB5BDD" w:rsidRPr="00CB5BDD" w:rsidRDefault="00CB5BDD" w:rsidP="008C6441">
      <w:pPr>
        <w:jc w:val="both"/>
        <w:rPr>
          <w:rFonts w:ascii="Arial" w:hAnsi="Arial" w:cs="Arial"/>
          <w:sz w:val="22"/>
          <w:szCs w:val="22"/>
        </w:rPr>
      </w:pPr>
    </w:p>
    <w:p w14:paraId="787E95D5" w14:textId="78598D5D" w:rsidR="00442CD6" w:rsidRPr="00CB5BDD" w:rsidRDefault="00001771" w:rsidP="00442CD6">
      <w:pPr>
        <w:autoSpaceDE w:val="0"/>
        <w:autoSpaceDN w:val="0"/>
        <w:adjustRightInd w:val="0"/>
        <w:rPr>
          <w:rFonts w:ascii="Arial" w:hAnsi="Arial" w:cs="Arial"/>
          <w:sz w:val="22"/>
          <w:szCs w:val="22"/>
        </w:rPr>
      </w:pPr>
      <w:r w:rsidRPr="00001771">
        <w:rPr>
          <w:rFonts w:ascii="Arial" w:hAnsi="Arial" w:cs="Arial"/>
          <w:b/>
          <w:bCs/>
          <w:sz w:val="22"/>
          <w:szCs w:val="22"/>
        </w:rPr>
        <w:t xml:space="preserve">C. </w:t>
      </w:r>
      <w:r w:rsidRPr="00001771">
        <w:rPr>
          <w:rFonts w:ascii="Arial" w:hAnsi="Arial" w:cs="Arial"/>
          <w:b/>
          <w:bCs/>
          <w:sz w:val="22"/>
          <w:szCs w:val="22"/>
        </w:rPr>
        <w:tab/>
        <w:t>Fringe Benefits.</w:t>
      </w:r>
      <w:r>
        <w:rPr>
          <w:rFonts w:ascii="Arial" w:hAnsi="Arial" w:cs="Arial"/>
          <w:sz w:val="22"/>
          <w:szCs w:val="22"/>
        </w:rPr>
        <w:t xml:space="preserve"> </w:t>
      </w:r>
      <w:r w:rsidR="00442CD6" w:rsidRPr="00CB5BDD">
        <w:rPr>
          <w:rFonts w:ascii="Arial" w:hAnsi="Arial" w:cs="Arial"/>
          <w:sz w:val="22"/>
          <w:szCs w:val="22"/>
        </w:rPr>
        <w:t xml:space="preserve">Fringe </w:t>
      </w:r>
      <w:r w:rsidR="00DF6D34">
        <w:rPr>
          <w:rFonts w:ascii="Arial" w:hAnsi="Arial" w:cs="Arial"/>
          <w:sz w:val="22"/>
          <w:szCs w:val="22"/>
        </w:rPr>
        <w:t>b</w:t>
      </w:r>
      <w:r w:rsidR="00442CD6" w:rsidRPr="00CB5BDD">
        <w:rPr>
          <w:rFonts w:ascii="Arial" w:hAnsi="Arial" w:cs="Arial"/>
          <w:sz w:val="22"/>
          <w:szCs w:val="22"/>
        </w:rPr>
        <w:t>enefits are calculated as direct costs in accordance with Syracuse University’s indirect cost rate agreement</w:t>
      </w:r>
      <w:r w:rsidR="00231D85">
        <w:rPr>
          <w:rFonts w:ascii="Arial" w:hAnsi="Arial" w:cs="Arial"/>
          <w:sz w:val="22"/>
          <w:szCs w:val="22"/>
        </w:rPr>
        <w:t xml:space="preserve"> for fiscal year 2021</w:t>
      </w:r>
      <w:r w:rsidR="00442CD6" w:rsidRPr="00CB5BDD">
        <w:rPr>
          <w:rFonts w:ascii="Arial" w:hAnsi="Arial" w:cs="Arial"/>
          <w:sz w:val="22"/>
          <w:szCs w:val="22"/>
        </w:rPr>
        <w:t xml:space="preserve"> (Department of Health and Human Services, </w:t>
      </w:r>
      <w:r w:rsidR="00382C2A">
        <w:rPr>
          <w:rFonts w:ascii="Arial" w:hAnsi="Arial" w:cs="Arial"/>
          <w:sz w:val="22"/>
          <w:szCs w:val="22"/>
        </w:rPr>
        <w:t>17.6</w:t>
      </w:r>
      <w:r w:rsidR="00442CD6" w:rsidRPr="00CB5BDD">
        <w:rPr>
          <w:rFonts w:ascii="Arial" w:hAnsi="Arial" w:cs="Arial"/>
          <w:sz w:val="22"/>
          <w:szCs w:val="22"/>
        </w:rPr>
        <w:t>% for faculty during the summer; 29.</w:t>
      </w:r>
      <w:r w:rsidR="00382C2A">
        <w:rPr>
          <w:rFonts w:ascii="Arial" w:hAnsi="Arial" w:cs="Arial"/>
          <w:sz w:val="22"/>
          <w:szCs w:val="22"/>
        </w:rPr>
        <w:t>2</w:t>
      </w:r>
      <w:r w:rsidR="00442CD6" w:rsidRPr="00CB5BDD">
        <w:rPr>
          <w:rFonts w:ascii="Arial" w:hAnsi="Arial" w:cs="Arial"/>
          <w:sz w:val="22"/>
          <w:szCs w:val="22"/>
        </w:rPr>
        <w:t xml:space="preserve">% for faculty during the academic year and full time staff, </w:t>
      </w:r>
      <w:r w:rsidR="00231D85">
        <w:rPr>
          <w:rFonts w:ascii="Arial" w:hAnsi="Arial" w:cs="Arial"/>
          <w:sz w:val="22"/>
          <w:szCs w:val="22"/>
        </w:rPr>
        <w:t>11.0</w:t>
      </w:r>
      <w:r w:rsidR="00442CD6" w:rsidRPr="00CB5BDD">
        <w:rPr>
          <w:rFonts w:ascii="Arial" w:hAnsi="Arial" w:cs="Arial"/>
          <w:sz w:val="22"/>
          <w:szCs w:val="22"/>
        </w:rPr>
        <w:t>% for graduate students and 7.</w:t>
      </w:r>
      <w:r w:rsidR="00231D85">
        <w:rPr>
          <w:rFonts w:ascii="Arial" w:hAnsi="Arial" w:cs="Arial"/>
          <w:sz w:val="22"/>
          <w:szCs w:val="22"/>
        </w:rPr>
        <w:t>7</w:t>
      </w:r>
      <w:r w:rsidR="00442CD6" w:rsidRPr="00CB5BDD">
        <w:rPr>
          <w:rFonts w:ascii="Arial" w:hAnsi="Arial" w:cs="Arial"/>
          <w:sz w:val="22"/>
          <w:szCs w:val="22"/>
        </w:rPr>
        <w:t>% for undergraduate students and temporary staff). Actual rates in place during the time of the award would be charged.</w:t>
      </w:r>
    </w:p>
    <w:p w14:paraId="10BC96E7" w14:textId="2DF5E679" w:rsidR="008C6441" w:rsidRPr="00CB5BDD" w:rsidRDefault="008C6441" w:rsidP="008C6441">
      <w:pPr>
        <w:jc w:val="both"/>
        <w:rPr>
          <w:rFonts w:ascii="Arial" w:hAnsi="Arial" w:cs="Arial"/>
          <w:sz w:val="22"/>
          <w:szCs w:val="22"/>
        </w:rPr>
      </w:pPr>
    </w:p>
    <w:p w14:paraId="61C6FFB1" w14:textId="563D84A7" w:rsidR="00001771" w:rsidRDefault="006E035D" w:rsidP="008C6441">
      <w:pPr>
        <w:jc w:val="both"/>
        <w:rPr>
          <w:rFonts w:ascii="Arial" w:hAnsi="Arial" w:cs="Arial"/>
          <w:bCs/>
          <w:sz w:val="22"/>
          <w:szCs w:val="22"/>
        </w:rPr>
      </w:pPr>
      <w:r>
        <w:rPr>
          <w:rFonts w:ascii="Arial" w:hAnsi="Arial" w:cs="Arial"/>
          <w:b/>
          <w:sz w:val="22"/>
          <w:szCs w:val="22"/>
        </w:rPr>
        <w:t xml:space="preserve">D. </w:t>
      </w:r>
      <w:r w:rsidR="00001771">
        <w:rPr>
          <w:rFonts w:ascii="Arial" w:hAnsi="Arial" w:cs="Arial"/>
          <w:b/>
          <w:sz w:val="22"/>
          <w:szCs w:val="22"/>
        </w:rPr>
        <w:tab/>
        <w:t xml:space="preserve">Equipment. </w:t>
      </w:r>
      <w:r w:rsidR="00001771">
        <w:rPr>
          <w:rFonts w:ascii="Arial" w:hAnsi="Arial" w:cs="Arial"/>
          <w:bCs/>
          <w:sz w:val="22"/>
          <w:szCs w:val="22"/>
        </w:rPr>
        <w:t xml:space="preserve">No permanent equipment is requested for this project. </w:t>
      </w:r>
    </w:p>
    <w:p w14:paraId="1116D3E9" w14:textId="33CC51EF" w:rsidR="00001771" w:rsidRDefault="00001771" w:rsidP="008C6441">
      <w:pPr>
        <w:jc w:val="both"/>
        <w:rPr>
          <w:rFonts w:ascii="Arial" w:hAnsi="Arial" w:cs="Arial"/>
          <w:bCs/>
          <w:sz w:val="22"/>
          <w:szCs w:val="22"/>
        </w:rPr>
      </w:pPr>
    </w:p>
    <w:p w14:paraId="0A8D55C5" w14:textId="44B5926D" w:rsidR="00001771" w:rsidRDefault="00001771" w:rsidP="00001771">
      <w:pPr>
        <w:jc w:val="both"/>
        <w:rPr>
          <w:rFonts w:ascii="Arial" w:hAnsi="Arial" w:cs="Arial"/>
          <w:b/>
          <w:sz w:val="22"/>
          <w:szCs w:val="22"/>
        </w:rPr>
      </w:pPr>
      <w:r>
        <w:rPr>
          <w:rFonts w:ascii="Arial" w:hAnsi="Arial" w:cs="Arial"/>
          <w:b/>
          <w:sz w:val="22"/>
          <w:szCs w:val="22"/>
        </w:rPr>
        <w:t xml:space="preserve">E. </w:t>
      </w:r>
      <w:r>
        <w:rPr>
          <w:rFonts w:ascii="Arial" w:hAnsi="Arial" w:cs="Arial"/>
          <w:b/>
          <w:sz w:val="22"/>
          <w:szCs w:val="22"/>
        </w:rPr>
        <w:tab/>
      </w:r>
      <w:commentRangeStart w:id="3"/>
      <w:r>
        <w:rPr>
          <w:rFonts w:ascii="Arial" w:hAnsi="Arial" w:cs="Arial"/>
          <w:b/>
          <w:sz w:val="22"/>
          <w:szCs w:val="22"/>
        </w:rPr>
        <w:t xml:space="preserve">Travel </w:t>
      </w:r>
      <w:commentRangeEnd w:id="3"/>
      <w:r w:rsidR="001E7751">
        <w:rPr>
          <w:rStyle w:val="CommentReference"/>
        </w:rPr>
        <w:commentReference w:id="3"/>
      </w:r>
    </w:p>
    <w:p w14:paraId="6CBF5FE6" w14:textId="2468F6E8" w:rsidR="00001771" w:rsidRDefault="00001771" w:rsidP="00001771">
      <w:pPr>
        <w:ind w:left="270"/>
        <w:jc w:val="both"/>
        <w:rPr>
          <w:rFonts w:ascii="Arial" w:hAnsi="Arial" w:cs="Arial"/>
          <w:sz w:val="22"/>
          <w:szCs w:val="22"/>
        </w:rPr>
      </w:pPr>
      <w:r w:rsidRPr="00001771">
        <w:rPr>
          <w:rFonts w:ascii="Arial" w:hAnsi="Arial" w:cs="Arial"/>
          <w:b/>
          <w:sz w:val="22"/>
          <w:szCs w:val="22"/>
        </w:rPr>
        <w:t>1. Domestic Travel.</w:t>
      </w:r>
      <w:r>
        <w:rPr>
          <w:rFonts w:ascii="Arial" w:hAnsi="Arial" w:cs="Arial"/>
          <w:b/>
          <w:sz w:val="22"/>
          <w:szCs w:val="22"/>
        </w:rPr>
        <w:t xml:space="preserve"> </w:t>
      </w:r>
      <w:r>
        <w:rPr>
          <w:rFonts w:ascii="Arial" w:hAnsi="Arial" w:cs="Arial"/>
          <w:sz w:val="22"/>
          <w:szCs w:val="22"/>
        </w:rPr>
        <w:t>Funds for domestic travel</w:t>
      </w:r>
      <w:r w:rsidRPr="00CB5BDD">
        <w:rPr>
          <w:rFonts w:ascii="Arial" w:hAnsi="Arial" w:cs="Arial"/>
          <w:sz w:val="22"/>
          <w:szCs w:val="22"/>
        </w:rPr>
        <w:t xml:space="preserve"> are budgeted </w:t>
      </w:r>
      <w:r>
        <w:rPr>
          <w:rFonts w:ascii="Arial" w:hAnsi="Arial" w:cs="Arial"/>
          <w:sz w:val="22"/>
          <w:szCs w:val="22"/>
        </w:rPr>
        <w:t>for the PI</w:t>
      </w:r>
      <w:r w:rsidRPr="00CB5BDD">
        <w:rPr>
          <w:rFonts w:ascii="Arial" w:hAnsi="Arial" w:cs="Arial"/>
          <w:sz w:val="22"/>
          <w:szCs w:val="22"/>
        </w:rPr>
        <w:t xml:space="preserve"> to attend a professional conference to share research results. Out-of-state conference travel is </w:t>
      </w:r>
      <w:r w:rsidR="001E7751">
        <w:rPr>
          <w:rFonts w:ascii="Arial" w:hAnsi="Arial" w:cs="Arial"/>
          <w:sz w:val="22"/>
          <w:szCs w:val="22"/>
        </w:rPr>
        <w:t xml:space="preserve">budgeted at $1,500 per trip per person. Anticipated costs include round-trip flight, transfers, conference registrations, and lodging and meals for 2-3 days. </w:t>
      </w:r>
    </w:p>
    <w:p w14:paraId="0224D005" w14:textId="594D0683" w:rsidR="001E7751" w:rsidRDefault="001E7751" w:rsidP="00001771">
      <w:pPr>
        <w:ind w:left="270"/>
        <w:jc w:val="both"/>
        <w:rPr>
          <w:rFonts w:ascii="Arial" w:hAnsi="Arial" w:cs="Arial"/>
          <w:sz w:val="22"/>
          <w:szCs w:val="22"/>
        </w:rPr>
      </w:pPr>
    </w:p>
    <w:p w14:paraId="1E89D5D3" w14:textId="4931474C" w:rsidR="007562AB" w:rsidRDefault="001E7751" w:rsidP="008E3CCE">
      <w:pPr>
        <w:ind w:left="270"/>
        <w:jc w:val="both"/>
        <w:rPr>
          <w:rFonts w:ascii="Arial" w:hAnsi="Arial" w:cs="Arial"/>
          <w:b/>
          <w:sz w:val="22"/>
          <w:szCs w:val="22"/>
        </w:rPr>
      </w:pPr>
      <w:r>
        <w:rPr>
          <w:rFonts w:ascii="Arial" w:hAnsi="Arial" w:cs="Arial"/>
          <w:b/>
          <w:sz w:val="22"/>
          <w:szCs w:val="22"/>
        </w:rPr>
        <w:t>2</w:t>
      </w:r>
      <w:r w:rsidR="00001771">
        <w:rPr>
          <w:rFonts w:ascii="Arial" w:hAnsi="Arial" w:cs="Arial"/>
          <w:b/>
          <w:sz w:val="22"/>
          <w:szCs w:val="22"/>
        </w:rPr>
        <w:t xml:space="preserve">. </w:t>
      </w:r>
      <w:commentRangeStart w:id="4"/>
      <w:r w:rsidR="00001771">
        <w:rPr>
          <w:rFonts w:ascii="Arial" w:hAnsi="Arial" w:cs="Arial"/>
          <w:b/>
          <w:sz w:val="22"/>
          <w:szCs w:val="22"/>
        </w:rPr>
        <w:t>Foreign Travel</w:t>
      </w:r>
      <w:commentRangeEnd w:id="4"/>
      <w:r>
        <w:rPr>
          <w:rStyle w:val="CommentReference"/>
        </w:rPr>
        <w:commentReference w:id="4"/>
      </w:r>
      <w:r w:rsidR="00001771">
        <w:rPr>
          <w:rFonts w:ascii="Arial" w:hAnsi="Arial" w:cs="Arial"/>
          <w:b/>
          <w:sz w:val="22"/>
          <w:szCs w:val="22"/>
        </w:rPr>
        <w:t xml:space="preserve"> </w:t>
      </w:r>
    </w:p>
    <w:p w14:paraId="6A36A25F" w14:textId="4D00155E" w:rsidR="00001771" w:rsidRDefault="00001771" w:rsidP="00001771">
      <w:pPr>
        <w:jc w:val="both"/>
        <w:rPr>
          <w:rFonts w:ascii="Arial" w:hAnsi="Arial" w:cs="Arial"/>
          <w:b/>
          <w:sz w:val="22"/>
          <w:szCs w:val="22"/>
        </w:rPr>
      </w:pPr>
    </w:p>
    <w:p w14:paraId="174089F2" w14:textId="317C009E" w:rsidR="00001771" w:rsidRDefault="00001771" w:rsidP="00001771">
      <w:pPr>
        <w:jc w:val="both"/>
        <w:rPr>
          <w:rFonts w:ascii="Arial" w:hAnsi="Arial" w:cs="Arial"/>
          <w:b/>
          <w:sz w:val="22"/>
          <w:szCs w:val="22"/>
        </w:rPr>
      </w:pPr>
      <w:r>
        <w:rPr>
          <w:rFonts w:ascii="Arial" w:hAnsi="Arial" w:cs="Arial"/>
          <w:b/>
          <w:sz w:val="22"/>
          <w:szCs w:val="22"/>
        </w:rPr>
        <w:t xml:space="preserve">F. </w:t>
      </w:r>
      <w:r>
        <w:rPr>
          <w:rFonts w:ascii="Arial" w:hAnsi="Arial" w:cs="Arial"/>
          <w:b/>
          <w:sz w:val="22"/>
          <w:szCs w:val="22"/>
        </w:rPr>
        <w:tab/>
        <w:t>Participant Support Costs</w:t>
      </w:r>
    </w:p>
    <w:p w14:paraId="119D7C1E" w14:textId="61AF3DEC" w:rsidR="00001771" w:rsidRDefault="00001771" w:rsidP="00001771">
      <w:pPr>
        <w:jc w:val="both"/>
        <w:rPr>
          <w:rFonts w:ascii="Arial" w:hAnsi="Arial" w:cs="Arial"/>
          <w:b/>
          <w:sz w:val="22"/>
          <w:szCs w:val="22"/>
        </w:rPr>
      </w:pPr>
    </w:p>
    <w:p w14:paraId="12CC983D" w14:textId="50D597F9" w:rsidR="00001771" w:rsidRDefault="00001771" w:rsidP="00001771">
      <w:pPr>
        <w:jc w:val="both"/>
        <w:rPr>
          <w:rFonts w:ascii="Arial" w:hAnsi="Arial" w:cs="Arial"/>
          <w:b/>
          <w:sz w:val="22"/>
          <w:szCs w:val="22"/>
        </w:rPr>
      </w:pPr>
      <w:r>
        <w:rPr>
          <w:rFonts w:ascii="Arial" w:hAnsi="Arial" w:cs="Arial"/>
          <w:b/>
          <w:sz w:val="22"/>
          <w:szCs w:val="22"/>
        </w:rPr>
        <w:t xml:space="preserve">G. </w:t>
      </w:r>
      <w:r>
        <w:rPr>
          <w:rFonts w:ascii="Arial" w:hAnsi="Arial" w:cs="Arial"/>
          <w:b/>
          <w:sz w:val="22"/>
          <w:szCs w:val="22"/>
        </w:rPr>
        <w:tab/>
        <w:t>Other Direct Costs</w:t>
      </w:r>
    </w:p>
    <w:p w14:paraId="661E6543" w14:textId="7D30837D" w:rsidR="006E035D" w:rsidRDefault="007562AB" w:rsidP="008E3CCE">
      <w:pPr>
        <w:ind w:firstLine="360"/>
        <w:jc w:val="both"/>
        <w:rPr>
          <w:rFonts w:ascii="Arial" w:hAnsi="Arial" w:cs="Arial"/>
          <w:b/>
          <w:sz w:val="22"/>
          <w:szCs w:val="22"/>
        </w:rPr>
      </w:pPr>
      <w:r>
        <w:rPr>
          <w:rFonts w:ascii="Arial" w:hAnsi="Arial" w:cs="Arial"/>
          <w:b/>
          <w:sz w:val="22"/>
          <w:szCs w:val="22"/>
        </w:rPr>
        <w:t xml:space="preserve">1. </w:t>
      </w:r>
      <w:commentRangeStart w:id="5"/>
      <w:r>
        <w:rPr>
          <w:rFonts w:ascii="Arial" w:hAnsi="Arial" w:cs="Arial"/>
          <w:b/>
          <w:sz w:val="22"/>
          <w:szCs w:val="22"/>
        </w:rPr>
        <w:t xml:space="preserve">Materials and Supplies </w:t>
      </w:r>
      <w:commentRangeEnd w:id="5"/>
      <w:r w:rsidR="00B50D1B">
        <w:rPr>
          <w:rStyle w:val="CommentReference"/>
        </w:rPr>
        <w:commentReference w:id="5"/>
      </w:r>
    </w:p>
    <w:p w14:paraId="0CD33C8F" w14:textId="4C458C8D" w:rsidR="007562AB" w:rsidRDefault="007562AB" w:rsidP="008E3CCE">
      <w:pPr>
        <w:ind w:firstLine="360"/>
        <w:jc w:val="both"/>
        <w:rPr>
          <w:rFonts w:ascii="Arial" w:hAnsi="Arial" w:cs="Arial"/>
          <w:b/>
          <w:sz w:val="22"/>
          <w:szCs w:val="22"/>
        </w:rPr>
      </w:pPr>
    </w:p>
    <w:p w14:paraId="232DD5B7" w14:textId="5D030661" w:rsidR="007562AB" w:rsidRPr="008E3CCE" w:rsidRDefault="007562AB" w:rsidP="008E3CCE">
      <w:pPr>
        <w:ind w:firstLine="360"/>
        <w:jc w:val="both"/>
        <w:rPr>
          <w:rFonts w:ascii="Arial" w:hAnsi="Arial" w:cs="Arial"/>
          <w:bCs/>
          <w:sz w:val="22"/>
          <w:szCs w:val="22"/>
        </w:rPr>
      </w:pPr>
      <w:r>
        <w:rPr>
          <w:rFonts w:ascii="Arial" w:hAnsi="Arial" w:cs="Arial"/>
          <w:b/>
          <w:sz w:val="22"/>
          <w:szCs w:val="22"/>
        </w:rPr>
        <w:t xml:space="preserve">2. </w:t>
      </w:r>
      <w:commentRangeStart w:id="6"/>
      <w:r>
        <w:rPr>
          <w:rFonts w:ascii="Arial" w:hAnsi="Arial" w:cs="Arial"/>
          <w:b/>
          <w:sz w:val="22"/>
          <w:szCs w:val="22"/>
        </w:rPr>
        <w:t>Publication/Documentation/Dissemination</w:t>
      </w:r>
      <w:commentRangeEnd w:id="6"/>
      <w:r w:rsidR="00B50D1B">
        <w:rPr>
          <w:rStyle w:val="CommentReference"/>
        </w:rPr>
        <w:commentReference w:id="6"/>
      </w:r>
      <w:r w:rsidR="008E3CCE">
        <w:rPr>
          <w:rFonts w:ascii="Arial" w:hAnsi="Arial" w:cs="Arial"/>
          <w:b/>
          <w:sz w:val="22"/>
          <w:szCs w:val="22"/>
        </w:rPr>
        <w:t xml:space="preserve">. </w:t>
      </w:r>
      <w:r w:rsidR="00B50D1B" w:rsidRPr="00B50D1B">
        <w:rPr>
          <w:rFonts w:ascii="Arial" w:hAnsi="Arial" w:cs="Arial"/>
          <w:bCs/>
          <w:sz w:val="22"/>
          <w:szCs w:val="22"/>
        </w:rPr>
        <w:t>Funds are requested for costs associated with publishing findings in an open-access format. Estimates are based on typical costs of $1,500 to $2,500 per article.</w:t>
      </w:r>
    </w:p>
    <w:p w14:paraId="4D0FDE8F" w14:textId="559C5C80" w:rsidR="007562AB" w:rsidRDefault="007562AB" w:rsidP="008E3CCE">
      <w:pPr>
        <w:ind w:firstLine="360"/>
        <w:jc w:val="both"/>
        <w:rPr>
          <w:rFonts w:ascii="Arial" w:hAnsi="Arial" w:cs="Arial"/>
          <w:b/>
          <w:sz w:val="22"/>
          <w:szCs w:val="22"/>
        </w:rPr>
      </w:pPr>
    </w:p>
    <w:p w14:paraId="6A95729D" w14:textId="045C6AB0" w:rsidR="007562AB" w:rsidRDefault="007562AB" w:rsidP="008E3CCE">
      <w:pPr>
        <w:ind w:firstLine="360"/>
        <w:jc w:val="both"/>
        <w:rPr>
          <w:rFonts w:ascii="Arial" w:hAnsi="Arial" w:cs="Arial"/>
          <w:b/>
          <w:sz w:val="22"/>
          <w:szCs w:val="22"/>
        </w:rPr>
      </w:pPr>
      <w:r>
        <w:rPr>
          <w:rFonts w:ascii="Arial" w:hAnsi="Arial" w:cs="Arial"/>
          <w:b/>
          <w:sz w:val="22"/>
          <w:szCs w:val="22"/>
        </w:rPr>
        <w:t xml:space="preserve">3. Consultant Services </w:t>
      </w:r>
    </w:p>
    <w:p w14:paraId="68758560" w14:textId="76EDC026" w:rsidR="007562AB" w:rsidRDefault="007562AB" w:rsidP="008E3CCE">
      <w:pPr>
        <w:ind w:firstLine="360"/>
        <w:jc w:val="both"/>
        <w:rPr>
          <w:rFonts w:ascii="Arial" w:hAnsi="Arial" w:cs="Arial"/>
          <w:b/>
          <w:sz w:val="22"/>
          <w:szCs w:val="22"/>
        </w:rPr>
      </w:pPr>
    </w:p>
    <w:p w14:paraId="19F15C0E" w14:textId="69BFF24F" w:rsidR="007562AB" w:rsidRDefault="007562AB" w:rsidP="008E3CCE">
      <w:pPr>
        <w:ind w:firstLine="360"/>
        <w:jc w:val="both"/>
        <w:rPr>
          <w:rFonts w:ascii="Arial" w:hAnsi="Arial" w:cs="Arial"/>
          <w:b/>
          <w:sz w:val="22"/>
          <w:szCs w:val="22"/>
        </w:rPr>
      </w:pPr>
      <w:r>
        <w:rPr>
          <w:rFonts w:ascii="Arial" w:hAnsi="Arial" w:cs="Arial"/>
          <w:b/>
          <w:sz w:val="22"/>
          <w:szCs w:val="22"/>
        </w:rPr>
        <w:t xml:space="preserve">4. Computer Services </w:t>
      </w:r>
    </w:p>
    <w:p w14:paraId="03BFC241" w14:textId="1CA368F9" w:rsidR="007562AB" w:rsidRDefault="007562AB" w:rsidP="008E3CCE">
      <w:pPr>
        <w:ind w:firstLine="360"/>
        <w:jc w:val="both"/>
        <w:rPr>
          <w:rFonts w:ascii="Arial" w:hAnsi="Arial" w:cs="Arial"/>
          <w:b/>
          <w:sz w:val="22"/>
          <w:szCs w:val="22"/>
        </w:rPr>
      </w:pPr>
    </w:p>
    <w:p w14:paraId="43FECE2E" w14:textId="159A06D8" w:rsidR="007562AB" w:rsidRPr="008E3CCE" w:rsidRDefault="007562AB" w:rsidP="008E3CCE">
      <w:pPr>
        <w:ind w:firstLine="360"/>
        <w:jc w:val="both"/>
        <w:rPr>
          <w:rFonts w:ascii="Arial" w:hAnsi="Arial" w:cs="Arial"/>
          <w:bCs/>
          <w:sz w:val="22"/>
          <w:szCs w:val="22"/>
        </w:rPr>
      </w:pPr>
      <w:r>
        <w:rPr>
          <w:rFonts w:ascii="Arial" w:hAnsi="Arial" w:cs="Arial"/>
          <w:b/>
          <w:sz w:val="22"/>
          <w:szCs w:val="22"/>
        </w:rPr>
        <w:t>5. Subaward</w:t>
      </w:r>
      <w:r w:rsidR="008E3CCE">
        <w:rPr>
          <w:rFonts w:ascii="Arial" w:hAnsi="Arial" w:cs="Arial"/>
          <w:b/>
          <w:sz w:val="22"/>
          <w:szCs w:val="22"/>
        </w:rPr>
        <w:t xml:space="preserve">s. </w:t>
      </w:r>
      <w:r w:rsidR="008E3CCE">
        <w:rPr>
          <w:rFonts w:ascii="Arial" w:hAnsi="Arial" w:cs="Arial"/>
          <w:bCs/>
          <w:sz w:val="22"/>
          <w:szCs w:val="22"/>
        </w:rPr>
        <w:t xml:space="preserve">The budget includes funds for a subaward to </w:t>
      </w:r>
      <w:r w:rsidR="00231D85" w:rsidRPr="00231D85">
        <w:rPr>
          <w:rFonts w:ascii="Arial" w:hAnsi="Arial" w:cs="Arial"/>
          <w:bCs/>
          <w:sz w:val="22"/>
          <w:szCs w:val="22"/>
          <w:highlight w:val="yellow"/>
        </w:rPr>
        <w:t>[subrecipient institution]</w:t>
      </w:r>
      <w:r w:rsidR="008E3CCE">
        <w:rPr>
          <w:rFonts w:ascii="Arial" w:hAnsi="Arial" w:cs="Arial"/>
          <w:bCs/>
          <w:sz w:val="22"/>
          <w:szCs w:val="22"/>
        </w:rPr>
        <w:t xml:space="preserve"> (see subaward budget justification). </w:t>
      </w:r>
    </w:p>
    <w:p w14:paraId="28301045" w14:textId="38C55F0F" w:rsidR="007562AB" w:rsidRDefault="007562AB" w:rsidP="008E3CCE">
      <w:pPr>
        <w:ind w:firstLine="360"/>
        <w:jc w:val="both"/>
        <w:rPr>
          <w:rFonts w:ascii="Arial" w:hAnsi="Arial" w:cs="Arial"/>
          <w:b/>
          <w:sz w:val="22"/>
          <w:szCs w:val="22"/>
        </w:rPr>
      </w:pPr>
    </w:p>
    <w:p w14:paraId="06895D9B" w14:textId="64FE0D75" w:rsidR="00B50D1B" w:rsidRDefault="007562AB" w:rsidP="00B50D1B">
      <w:pPr>
        <w:ind w:firstLine="450"/>
        <w:jc w:val="both"/>
        <w:rPr>
          <w:rFonts w:ascii="Arial" w:hAnsi="Arial" w:cs="Arial"/>
          <w:bCs/>
          <w:sz w:val="22"/>
          <w:szCs w:val="22"/>
        </w:rPr>
      </w:pPr>
      <w:r>
        <w:rPr>
          <w:rFonts w:ascii="Arial" w:hAnsi="Arial" w:cs="Arial"/>
          <w:b/>
          <w:sz w:val="22"/>
          <w:szCs w:val="22"/>
        </w:rPr>
        <w:lastRenderedPageBreak/>
        <w:t>6. Other: GRA Tuition Remission</w:t>
      </w:r>
      <w:r w:rsidR="00B50D1B">
        <w:rPr>
          <w:rFonts w:ascii="Arial" w:hAnsi="Arial" w:cs="Arial"/>
          <w:b/>
          <w:sz w:val="22"/>
          <w:szCs w:val="22"/>
        </w:rPr>
        <w:t>.</w:t>
      </w:r>
      <w:r>
        <w:rPr>
          <w:rFonts w:ascii="Arial" w:hAnsi="Arial" w:cs="Arial"/>
          <w:b/>
          <w:sz w:val="22"/>
          <w:szCs w:val="22"/>
        </w:rPr>
        <w:t xml:space="preserve"> </w:t>
      </w:r>
      <w:r w:rsidR="00B50D1B" w:rsidRPr="006E035D">
        <w:rPr>
          <w:rFonts w:ascii="Arial" w:hAnsi="Arial" w:cs="Arial"/>
          <w:bCs/>
          <w:sz w:val="22"/>
          <w:szCs w:val="22"/>
        </w:rPr>
        <w:t xml:space="preserve">Funds are requested for support of remitted tuition for one graduate student. Estimates are based on </w:t>
      </w:r>
      <w:r w:rsidR="00B50D1B">
        <w:rPr>
          <w:rFonts w:ascii="Arial" w:hAnsi="Arial" w:cs="Arial"/>
          <w:bCs/>
          <w:sz w:val="22"/>
          <w:szCs w:val="22"/>
        </w:rPr>
        <w:t>24</w:t>
      </w:r>
      <w:r w:rsidR="00B50D1B" w:rsidRPr="006E035D">
        <w:rPr>
          <w:rFonts w:ascii="Arial" w:hAnsi="Arial" w:cs="Arial"/>
          <w:bCs/>
          <w:sz w:val="22"/>
          <w:szCs w:val="22"/>
        </w:rPr>
        <w:t xml:space="preserve"> credit hours at $1,6</w:t>
      </w:r>
      <w:r w:rsidR="00231D85">
        <w:rPr>
          <w:rFonts w:ascii="Arial" w:hAnsi="Arial" w:cs="Arial"/>
          <w:bCs/>
          <w:sz w:val="22"/>
          <w:szCs w:val="22"/>
        </w:rPr>
        <w:t>83</w:t>
      </w:r>
      <w:r w:rsidR="00B50D1B" w:rsidRPr="006E035D">
        <w:rPr>
          <w:rFonts w:ascii="Arial" w:hAnsi="Arial" w:cs="Arial"/>
          <w:bCs/>
          <w:sz w:val="22"/>
          <w:szCs w:val="22"/>
        </w:rPr>
        <w:t xml:space="preserve"> per credit hour.</w:t>
      </w:r>
    </w:p>
    <w:p w14:paraId="06DC9879" w14:textId="5ED8C59E" w:rsidR="007562AB" w:rsidRDefault="007562AB" w:rsidP="008E3CCE">
      <w:pPr>
        <w:ind w:firstLine="360"/>
        <w:jc w:val="both"/>
        <w:rPr>
          <w:rFonts w:ascii="Arial" w:hAnsi="Arial" w:cs="Arial"/>
          <w:sz w:val="22"/>
          <w:szCs w:val="22"/>
        </w:rPr>
      </w:pPr>
    </w:p>
    <w:p w14:paraId="271AE4B0" w14:textId="50976CF0" w:rsidR="008C6441" w:rsidRPr="00442CD6" w:rsidRDefault="006E035D" w:rsidP="00246A97">
      <w:pPr>
        <w:jc w:val="both"/>
        <w:rPr>
          <w:rFonts w:ascii="Arial" w:hAnsi="Arial" w:cs="Arial"/>
          <w:sz w:val="22"/>
          <w:szCs w:val="22"/>
        </w:rPr>
      </w:pPr>
      <w:r w:rsidRPr="006E035D">
        <w:rPr>
          <w:rFonts w:ascii="Arial" w:hAnsi="Arial" w:cs="Arial"/>
          <w:b/>
          <w:sz w:val="22"/>
          <w:szCs w:val="22"/>
        </w:rPr>
        <w:t xml:space="preserve">I. </w:t>
      </w:r>
      <w:r w:rsidR="00B50D1B">
        <w:rPr>
          <w:rFonts w:ascii="Arial" w:hAnsi="Arial" w:cs="Arial"/>
          <w:b/>
          <w:sz w:val="22"/>
          <w:szCs w:val="22"/>
        </w:rPr>
        <w:tab/>
        <w:t xml:space="preserve">Indirect Costs. </w:t>
      </w:r>
      <w:r w:rsidR="00B50D1B">
        <w:rPr>
          <w:rFonts w:ascii="Arial" w:hAnsi="Arial" w:cs="Arial"/>
          <w:bCs/>
          <w:sz w:val="22"/>
          <w:szCs w:val="22"/>
        </w:rPr>
        <w:t xml:space="preserve">Syracuse University requires indirect costs </w:t>
      </w:r>
      <w:r w:rsidR="00442CD6" w:rsidRPr="00442CD6">
        <w:rPr>
          <w:rFonts w:ascii="Arial" w:hAnsi="Arial" w:cs="Arial"/>
          <w:bCs/>
          <w:sz w:val="22"/>
          <w:szCs w:val="22"/>
        </w:rPr>
        <w:t xml:space="preserve">calculated in accordance with </w:t>
      </w:r>
      <w:r w:rsidR="00B50D1B">
        <w:rPr>
          <w:rFonts w:ascii="Arial" w:hAnsi="Arial" w:cs="Arial"/>
          <w:bCs/>
          <w:sz w:val="22"/>
          <w:szCs w:val="22"/>
        </w:rPr>
        <w:t>the University’s</w:t>
      </w:r>
      <w:r w:rsidR="00442CD6" w:rsidRPr="00442CD6">
        <w:rPr>
          <w:rFonts w:ascii="Arial" w:hAnsi="Arial" w:cs="Arial"/>
          <w:bCs/>
          <w:sz w:val="22"/>
          <w:szCs w:val="22"/>
        </w:rPr>
        <w:t xml:space="preserve"> federally negotiated rate agreement (Department of </w:t>
      </w:r>
      <w:r w:rsidR="00442CD6" w:rsidRPr="00442CD6">
        <w:rPr>
          <w:rFonts w:ascii="Arial" w:hAnsi="Arial" w:cs="Arial"/>
          <w:sz w:val="22"/>
          <w:szCs w:val="22"/>
        </w:rPr>
        <w:t>Health and Human Services, effective 07/10/2019), which is currently 50% of modified total direct costs (MTDC).  Syracuse University’s threshold for equipment is $5,000</w:t>
      </w:r>
      <w:r w:rsidR="00246A97" w:rsidRPr="00442CD6">
        <w:rPr>
          <w:rFonts w:ascii="Arial" w:hAnsi="Arial" w:cs="Arial"/>
          <w:sz w:val="22"/>
          <w:szCs w:val="22"/>
        </w:rPr>
        <w:t xml:space="preserve">. </w:t>
      </w:r>
    </w:p>
    <w:p w14:paraId="6714077F" w14:textId="06707393" w:rsidR="001A54A9" w:rsidRDefault="001A54A9" w:rsidP="00246A97">
      <w:pPr>
        <w:jc w:val="both"/>
        <w:rPr>
          <w:rFonts w:ascii="Arial" w:hAnsi="Arial" w:cs="Arial"/>
          <w:sz w:val="22"/>
          <w:szCs w:val="22"/>
        </w:rPr>
      </w:pPr>
    </w:p>
    <w:p w14:paraId="230E791D" w14:textId="7D49158A" w:rsidR="001A54A9" w:rsidRDefault="001A54A9" w:rsidP="00246A97">
      <w:pPr>
        <w:jc w:val="both"/>
        <w:rPr>
          <w:rFonts w:ascii="Arial" w:hAnsi="Arial" w:cs="Arial"/>
          <w:sz w:val="22"/>
          <w:szCs w:val="22"/>
        </w:rPr>
      </w:pPr>
    </w:p>
    <w:p w14:paraId="77CC3E53" w14:textId="4E90D762" w:rsidR="001A54A9" w:rsidRDefault="001A54A9" w:rsidP="00246A97">
      <w:pPr>
        <w:jc w:val="both"/>
        <w:rPr>
          <w:rFonts w:ascii="Arial" w:hAnsi="Arial" w:cs="Arial"/>
          <w:sz w:val="22"/>
          <w:szCs w:val="22"/>
        </w:rPr>
      </w:pPr>
    </w:p>
    <w:sectPr w:rsidR="001A54A9" w:rsidSect="00A36781">
      <w:footerReference w:type="default" r:id="rId12"/>
      <w:footerReference w:type="first" r:id="rId13"/>
      <w:pgSz w:w="12240" w:h="15840"/>
      <w:pgMar w:top="1440" w:right="1440" w:bottom="1440" w:left="1440" w:header="720" w:footer="720" w:gutter="0"/>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0" w:author="Jill S Ferguson" w:date="2020-06-06T07:46:00Z" w:initials="JSF">
    <w:p w14:paraId="70F1AD37" w14:textId="79D75D85" w:rsidR="00F8641A" w:rsidRDefault="00F8641A">
      <w:pPr>
        <w:pStyle w:val="CommentText"/>
      </w:pPr>
      <w:r>
        <w:rPr>
          <w:rStyle w:val="CommentReference"/>
        </w:rPr>
        <w:annotationRef/>
      </w:r>
      <w:r>
        <w:t xml:space="preserve">From NSF Proposal Guide: </w:t>
      </w:r>
      <w:r w:rsidRPr="001E7751">
        <w:rPr>
          <w:i/>
          <w:iCs/>
        </w:rPr>
        <w:t>Each proposal must contain a budget for each year of support requested. The budget justification must be no more than five pages per proposal. For proposals that contain a subaward(s), each subaward must include a separate budget justification of no more than five pages.</w:t>
      </w:r>
    </w:p>
  </w:comment>
  <w:comment w:id="1" w:author="Jill S Ferguson" w:date="2020-07-22T15:01:00Z" w:initials="JSF">
    <w:p w14:paraId="3B8B588E" w14:textId="270BE9EB" w:rsidR="00F8641A" w:rsidRDefault="00F8641A">
      <w:pPr>
        <w:pStyle w:val="CommentText"/>
      </w:pPr>
      <w:r>
        <w:rPr>
          <w:rStyle w:val="CommentReference"/>
        </w:rPr>
        <w:annotationRef/>
      </w:r>
      <w:r>
        <w:t xml:space="preserve">Modify as appropriate to the project. However, note NSF’s “2-month rule”: </w:t>
      </w:r>
    </w:p>
    <w:p w14:paraId="4E36CE60" w14:textId="77777777" w:rsidR="00F8641A" w:rsidRDefault="00F8641A">
      <w:pPr>
        <w:pStyle w:val="CommentText"/>
      </w:pPr>
    </w:p>
    <w:p w14:paraId="279813EA" w14:textId="401CDF24" w:rsidR="00F8641A" w:rsidRPr="001E7751" w:rsidRDefault="00F8641A" w:rsidP="00580EE1">
      <w:pPr>
        <w:pStyle w:val="CommentText"/>
        <w:rPr>
          <w:i/>
          <w:iCs/>
        </w:rPr>
      </w:pPr>
      <w:r w:rsidRPr="001E7751">
        <w:rPr>
          <w:rStyle w:val="CommentReference"/>
          <w:i/>
          <w:iCs/>
        </w:rPr>
        <w:annotationRef/>
      </w:r>
      <w:r w:rsidRPr="001E7751">
        <w:rPr>
          <w:i/>
          <w:iCs/>
        </w:rPr>
        <w:t>As a general policy, NSF limits the salary compensation requested in the proposal budget for senior personnel to no more than two months of their regular salary in any one year. This limit includes salary compensation received from all NSF-funded grants.</w:t>
      </w:r>
    </w:p>
    <w:p w14:paraId="48732B86" w14:textId="6BD10EEF" w:rsidR="00F8641A" w:rsidRDefault="00F8641A">
      <w:pPr>
        <w:pStyle w:val="CommentText"/>
      </w:pPr>
    </w:p>
  </w:comment>
  <w:comment w:id="2" w:author="Jill S Ferguson" w:date="2020-07-22T16:29:00Z" w:initials="JSF">
    <w:p w14:paraId="562BA5FC" w14:textId="11D17891" w:rsidR="00D059D1" w:rsidRDefault="00D059D1">
      <w:pPr>
        <w:pStyle w:val="CommentText"/>
      </w:pPr>
      <w:r>
        <w:rPr>
          <w:rStyle w:val="CommentReference"/>
        </w:rPr>
        <w:annotationRef/>
      </w:r>
      <w:r>
        <w:t xml:space="preserve">Modify as appropriate to the project. </w:t>
      </w:r>
    </w:p>
  </w:comment>
  <w:comment w:id="3" w:author="Jill S Ferguson" w:date="2020-06-08T16:07:00Z" w:initials="JSF">
    <w:p w14:paraId="7623B02D" w14:textId="6C404A29" w:rsidR="00F8641A" w:rsidRPr="001E7751" w:rsidRDefault="00F8641A">
      <w:pPr>
        <w:pStyle w:val="CommentText"/>
        <w:rPr>
          <w:i/>
          <w:iCs/>
        </w:rPr>
      </w:pPr>
      <w:r>
        <w:rPr>
          <w:rStyle w:val="CommentReference"/>
        </w:rPr>
        <w:annotationRef/>
      </w:r>
      <w:r w:rsidRPr="001E7751">
        <w:rPr>
          <w:i/>
          <w:iCs/>
        </w:rPr>
        <w:t xml:space="preserve">When anticipated, travel and its relation to the proposed activities must be specified, </w:t>
      </w:r>
      <w:proofErr w:type="gramStart"/>
      <w:r w:rsidRPr="001E7751">
        <w:rPr>
          <w:i/>
          <w:iCs/>
        </w:rPr>
        <w:t>itemized</w:t>
      </w:r>
      <w:proofErr w:type="gramEnd"/>
      <w:r w:rsidRPr="001E7751">
        <w:rPr>
          <w:i/>
          <w:iCs/>
        </w:rPr>
        <w:t xml:space="preserve"> and justified by destination and cost. Funds may be requested for field work, attendance at meetings and conferences, and other travel associated with the proposed work, including subsistence. In order to qualify for support, however, attendance at meetings or conferences must be necessary to accomplish proposal objectives or disseminate research results.</w:t>
      </w:r>
    </w:p>
  </w:comment>
  <w:comment w:id="4" w:author="Jill S Ferguson" w:date="2020-06-08T16:05:00Z" w:initials="JSF">
    <w:p w14:paraId="30A64EA4" w14:textId="2E6DF6C6" w:rsidR="00F8641A" w:rsidRDefault="00F8641A">
      <w:pPr>
        <w:pStyle w:val="CommentText"/>
      </w:pPr>
      <w:r>
        <w:rPr>
          <w:rStyle w:val="CommentReference"/>
        </w:rPr>
        <w:annotationRef/>
      </w:r>
      <w:r>
        <w:t xml:space="preserve">Generally estimated at $3,000 per trip per person for anticipated costs listed above for domestic travel. </w:t>
      </w:r>
    </w:p>
  </w:comment>
  <w:comment w:id="5" w:author="Jill S Ferguson" w:date="2020-06-08T13:00:00Z" w:initials="JSF">
    <w:p w14:paraId="0882509C" w14:textId="649ADA76" w:rsidR="00F8641A" w:rsidRPr="001E7751" w:rsidRDefault="00F8641A">
      <w:pPr>
        <w:pStyle w:val="CommentText"/>
        <w:rPr>
          <w:i/>
          <w:iCs/>
        </w:rPr>
      </w:pPr>
      <w:r>
        <w:rPr>
          <w:rStyle w:val="CommentReference"/>
        </w:rPr>
        <w:annotationRef/>
      </w:r>
      <w:r w:rsidRPr="001E7751">
        <w:rPr>
          <w:i/>
          <w:iCs/>
        </w:rPr>
        <w:t xml:space="preserve">When anticipated, the proposal budget justification must indicate the general types of expendable materials and supplies required. Supplies are defined as all tangible personal property other than those described in paragraph (d)(iii) above. A computing device is considered a supply if the acquisition cost is less than the lesser of the capitalization level established by the proposer or $5,000, regardless of the length of its useful life. In the specific case of computing devices, charging as a direct cost is allowable for devices that are essential and allocable, but not solely dedicated, to the performance of the NSF project. Details and justification must be included for items requested to support the project. </w:t>
      </w:r>
    </w:p>
  </w:comment>
  <w:comment w:id="6" w:author="Jill S Ferguson" w:date="2020-06-08T13:00:00Z" w:initials="JSF">
    <w:p w14:paraId="64242C89" w14:textId="132C679D" w:rsidR="00F8641A" w:rsidRPr="001E7751" w:rsidRDefault="00F8641A">
      <w:pPr>
        <w:pStyle w:val="CommentText"/>
        <w:rPr>
          <w:i/>
          <w:iCs/>
        </w:rPr>
      </w:pPr>
      <w:r w:rsidRPr="001E7751">
        <w:rPr>
          <w:rStyle w:val="CommentReference"/>
          <w:i/>
          <w:iCs/>
        </w:rPr>
        <w:annotationRef/>
      </w:r>
      <w:r w:rsidRPr="001E7751">
        <w:rPr>
          <w:i/>
          <w:iCs/>
        </w:rPr>
        <w:t>The proposal budget may request funds for the costs of documenting, preparing, publishing or otherwise making available to others the findings and products of the work to be conducted under the grant. This generally includes the following types of activities: reports, reprints, page charges or other journal costs (except costs for prior or early publication); necessary illustrations; cleanup, documentation, storage and indexing of data and databases; development, documentation and debugging of software; and storage, preservation, documentation, indexing, etc., of physical specimens, collections or fabricated items. Line G.2. of the proposal budget also may be used to request funding for data deposit and data curation costs.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0F1AD37" w15:done="0"/>
  <w15:commentEx w15:paraId="48732B86" w15:done="0"/>
  <w15:commentEx w15:paraId="562BA5FC" w15:done="0"/>
  <w15:commentEx w15:paraId="7623B02D" w15:done="0"/>
  <w15:commentEx w15:paraId="30A64EA4" w15:done="0"/>
  <w15:commentEx w15:paraId="0882509C" w15:done="0"/>
  <w15:commentEx w15:paraId="64242C8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85C856" w16cex:dateUtc="2020-06-06T11:46:00Z"/>
  <w16cex:commentExtensible w16cex:durableId="22C2D347" w16cex:dateUtc="2020-07-22T19:01:00Z"/>
  <w16cex:commentExtensible w16cex:durableId="22C2E7DD" w16cex:dateUtc="2020-07-22T20:29:00Z"/>
  <w16cex:commentExtensible w16cex:durableId="2288E0CB" w16cex:dateUtc="2020-06-08T20:07:00Z"/>
  <w16cex:commentExtensible w16cex:durableId="2288E056" w16cex:dateUtc="2020-06-08T20:05:00Z"/>
  <w16cex:commentExtensible w16cex:durableId="2288B4F2" w16cex:dateUtc="2020-06-08T17:00:00Z"/>
  <w16cex:commentExtensible w16cex:durableId="2288B4DA" w16cex:dateUtc="2020-06-08T17: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0F1AD37" w16cid:durableId="2285C856"/>
  <w16cid:commentId w16cid:paraId="48732B86" w16cid:durableId="22C2D347"/>
  <w16cid:commentId w16cid:paraId="562BA5FC" w16cid:durableId="22C2E7DD"/>
  <w16cid:commentId w16cid:paraId="7623B02D" w16cid:durableId="2288E0CB"/>
  <w16cid:commentId w16cid:paraId="30A64EA4" w16cid:durableId="2288E056"/>
  <w16cid:commentId w16cid:paraId="0882509C" w16cid:durableId="2288B4F2"/>
  <w16cid:commentId w16cid:paraId="64242C89" w16cid:durableId="2288B4D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3D8B9C" w14:textId="77777777" w:rsidR="009C08DD" w:rsidRDefault="009C08DD" w:rsidP="005B2748">
      <w:r>
        <w:separator/>
      </w:r>
    </w:p>
  </w:endnote>
  <w:endnote w:type="continuationSeparator" w:id="0">
    <w:p w14:paraId="6CF9D4BF" w14:textId="77777777" w:rsidR="009C08DD" w:rsidRDefault="009C08DD" w:rsidP="005B2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charset w:val="00"/>
    <w:family w:val="auto"/>
    <w:pitch w:val="default"/>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39527406"/>
      <w:docPartObj>
        <w:docPartGallery w:val="Page Numbers (Bottom of Page)"/>
        <w:docPartUnique/>
      </w:docPartObj>
    </w:sdtPr>
    <w:sdtEndPr>
      <w:rPr>
        <w:noProof/>
      </w:rPr>
    </w:sdtEndPr>
    <w:sdtContent>
      <w:p w14:paraId="17D8080C" w14:textId="6D2072E0" w:rsidR="00F8641A" w:rsidRDefault="00F8641A">
        <w:pPr>
          <w:pStyle w:val="Footer"/>
          <w:jc w:val="center"/>
        </w:pPr>
        <w:r>
          <w:fldChar w:fldCharType="begin"/>
        </w:r>
        <w:r>
          <w:instrText xml:space="preserve"> PAGE   \* MERGEFORMAT </w:instrText>
        </w:r>
        <w:r>
          <w:fldChar w:fldCharType="separate"/>
        </w:r>
        <w:r>
          <w:rPr>
            <w:noProof/>
          </w:rPr>
          <w:t>3</w:t>
        </w:r>
        <w:r>
          <w:rPr>
            <w:noProof/>
          </w:rPr>
          <w:fldChar w:fldCharType="end"/>
        </w:r>
      </w:p>
    </w:sdtContent>
  </w:sdt>
  <w:p w14:paraId="44E61ED2" w14:textId="77777777" w:rsidR="00F8641A" w:rsidRDefault="00F864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57084959"/>
      <w:docPartObj>
        <w:docPartGallery w:val="Page Numbers (Bottom of Page)"/>
        <w:docPartUnique/>
      </w:docPartObj>
    </w:sdtPr>
    <w:sdtEndPr>
      <w:rPr>
        <w:noProof/>
      </w:rPr>
    </w:sdtEndPr>
    <w:sdtContent>
      <w:p w14:paraId="68F8C533" w14:textId="7240CE11" w:rsidR="00F8641A" w:rsidRDefault="00F8641A">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14:paraId="261A676D" w14:textId="77777777" w:rsidR="00F8641A" w:rsidRDefault="00F864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D4D9E2" w14:textId="77777777" w:rsidR="009C08DD" w:rsidRDefault="009C08DD" w:rsidP="005B2748">
      <w:r>
        <w:separator/>
      </w:r>
    </w:p>
  </w:footnote>
  <w:footnote w:type="continuationSeparator" w:id="0">
    <w:p w14:paraId="5C0E4691" w14:textId="77777777" w:rsidR="009C08DD" w:rsidRDefault="009C08DD" w:rsidP="005B27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1" type="#_x0000_t75" style="width:3in;height:3in" o:bullet="t"/>
    </w:pict>
  </w:numPicBullet>
  <w:abstractNum w:abstractNumId="0" w15:restartNumberingAfterBreak="0">
    <w:nsid w:val="01901FA5"/>
    <w:multiLevelType w:val="hybridMultilevel"/>
    <w:tmpl w:val="D89C60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415D37"/>
    <w:multiLevelType w:val="hybridMultilevel"/>
    <w:tmpl w:val="AF4EB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BC02E91"/>
    <w:multiLevelType w:val="multilevel"/>
    <w:tmpl w:val="B5180DCA"/>
    <w:lvl w:ilvl="0">
      <w:start w:val="1"/>
      <w:numFmt w:val="bullet"/>
      <w:lvlText w:val=""/>
      <w:lvlJc w:val="left"/>
      <w:pPr>
        <w:tabs>
          <w:tab w:val="num" w:pos="144"/>
        </w:tabs>
        <w:ind w:left="216" w:hanging="288"/>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55D5EF6"/>
    <w:multiLevelType w:val="hybridMultilevel"/>
    <w:tmpl w:val="7F72A94E"/>
    <w:lvl w:ilvl="0" w:tplc="72FA413E">
      <w:start w:val="1"/>
      <w:numFmt w:val="bullet"/>
      <w:lvlText w:val=""/>
      <w:lvlJc w:val="left"/>
      <w:pPr>
        <w:tabs>
          <w:tab w:val="num" w:pos="144"/>
        </w:tabs>
        <w:ind w:left="216" w:hanging="288"/>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78E07C2"/>
    <w:multiLevelType w:val="hybridMultilevel"/>
    <w:tmpl w:val="8662E820"/>
    <w:lvl w:ilvl="0" w:tplc="4C48B58E">
      <w:start w:val="1"/>
      <w:numFmt w:val="bullet"/>
      <w:lvlText w:val=""/>
      <w:lvlJc w:val="left"/>
      <w:pPr>
        <w:tabs>
          <w:tab w:val="num" w:pos="216"/>
        </w:tabs>
        <w:ind w:left="216" w:hanging="14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F3F179D"/>
    <w:multiLevelType w:val="hybridMultilevel"/>
    <w:tmpl w:val="3B12A37C"/>
    <w:lvl w:ilvl="0" w:tplc="53AC5D82">
      <w:start w:val="1"/>
      <w:numFmt w:val="bullet"/>
      <w:lvlText w:val=""/>
      <w:lvlJc w:val="left"/>
      <w:pPr>
        <w:tabs>
          <w:tab w:val="num" w:pos="216"/>
        </w:tabs>
        <w:ind w:left="216" w:hanging="288"/>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B4A1178"/>
    <w:multiLevelType w:val="hybridMultilevel"/>
    <w:tmpl w:val="78409C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0867C30"/>
    <w:multiLevelType w:val="hybridMultilevel"/>
    <w:tmpl w:val="A96E49F0"/>
    <w:lvl w:ilvl="0" w:tplc="110C624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50F7503E"/>
    <w:multiLevelType w:val="multilevel"/>
    <w:tmpl w:val="46D0169E"/>
    <w:lvl w:ilvl="0">
      <w:start w:val="1"/>
      <w:numFmt w:val="bullet"/>
      <w:lvlText w:val=""/>
      <w:lvlPicBulletId w:val="0"/>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6E84A53"/>
    <w:multiLevelType w:val="hybridMultilevel"/>
    <w:tmpl w:val="50903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5E5A5F82"/>
    <w:multiLevelType w:val="multilevel"/>
    <w:tmpl w:val="3B12A37C"/>
    <w:lvl w:ilvl="0">
      <w:start w:val="1"/>
      <w:numFmt w:val="bullet"/>
      <w:lvlText w:val=""/>
      <w:lvlJc w:val="left"/>
      <w:pPr>
        <w:tabs>
          <w:tab w:val="num" w:pos="216"/>
        </w:tabs>
        <w:ind w:left="216" w:hanging="288"/>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3521510"/>
    <w:multiLevelType w:val="multilevel"/>
    <w:tmpl w:val="B5180DCA"/>
    <w:lvl w:ilvl="0">
      <w:start w:val="1"/>
      <w:numFmt w:val="bullet"/>
      <w:lvlText w:val=""/>
      <w:lvlJc w:val="left"/>
      <w:pPr>
        <w:tabs>
          <w:tab w:val="num" w:pos="144"/>
        </w:tabs>
        <w:ind w:left="216" w:hanging="288"/>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83C19FC"/>
    <w:multiLevelType w:val="multilevel"/>
    <w:tmpl w:val="0784AF94"/>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3" w15:restartNumberingAfterBreak="0">
    <w:nsid w:val="69E95A45"/>
    <w:multiLevelType w:val="hybridMultilevel"/>
    <w:tmpl w:val="B5180DCA"/>
    <w:lvl w:ilvl="0" w:tplc="6C6843E4">
      <w:start w:val="1"/>
      <w:numFmt w:val="bullet"/>
      <w:lvlText w:val=""/>
      <w:lvlJc w:val="left"/>
      <w:pPr>
        <w:tabs>
          <w:tab w:val="num" w:pos="144"/>
        </w:tabs>
        <w:ind w:left="216" w:hanging="288"/>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2E16FEF"/>
    <w:multiLevelType w:val="hybridMultilevel"/>
    <w:tmpl w:val="063448D6"/>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num w:numId="1">
    <w:abstractNumId w:val="13"/>
  </w:num>
  <w:num w:numId="2">
    <w:abstractNumId w:val="2"/>
  </w:num>
  <w:num w:numId="3">
    <w:abstractNumId w:val="3"/>
  </w:num>
  <w:num w:numId="4">
    <w:abstractNumId w:val="11"/>
  </w:num>
  <w:num w:numId="5">
    <w:abstractNumId w:val="5"/>
  </w:num>
  <w:num w:numId="6">
    <w:abstractNumId w:val="10"/>
  </w:num>
  <w:num w:numId="7">
    <w:abstractNumId w:val="4"/>
  </w:num>
  <w:num w:numId="8">
    <w:abstractNumId w:val="8"/>
  </w:num>
  <w:num w:numId="9">
    <w:abstractNumId w:val="12"/>
  </w:num>
  <w:num w:numId="10">
    <w:abstractNumId w:val="1"/>
  </w:num>
  <w:num w:numId="11">
    <w:abstractNumId w:val="14"/>
  </w:num>
  <w:num w:numId="12">
    <w:abstractNumId w:val="9"/>
  </w:num>
  <w:num w:numId="13">
    <w:abstractNumId w:val="0"/>
  </w:num>
  <w:num w:numId="14">
    <w:abstractNumId w:val="7"/>
  </w:num>
  <w:num w:numId="1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ill S Ferguson">
    <w15:presenceInfo w15:providerId="AD" w15:userId="S::jsfergus@syr.edu::8cbc4700-eaab-407f-bff2-c314860ad3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B40"/>
    <w:rsid w:val="00001771"/>
    <w:rsid w:val="00010A10"/>
    <w:rsid w:val="000171AE"/>
    <w:rsid w:val="0001798C"/>
    <w:rsid w:val="00027601"/>
    <w:rsid w:val="00032B5B"/>
    <w:rsid w:val="00033A0F"/>
    <w:rsid w:val="00042BCB"/>
    <w:rsid w:val="000466EF"/>
    <w:rsid w:val="00047255"/>
    <w:rsid w:val="00051248"/>
    <w:rsid w:val="0005139D"/>
    <w:rsid w:val="00052242"/>
    <w:rsid w:val="0005531E"/>
    <w:rsid w:val="00070C58"/>
    <w:rsid w:val="000821E9"/>
    <w:rsid w:val="000822C1"/>
    <w:rsid w:val="00083E04"/>
    <w:rsid w:val="00090C1C"/>
    <w:rsid w:val="00097ACA"/>
    <w:rsid w:val="000A5B28"/>
    <w:rsid w:val="000B45C1"/>
    <w:rsid w:val="000B533C"/>
    <w:rsid w:val="000D1B9A"/>
    <w:rsid w:val="000D4A88"/>
    <w:rsid w:val="000E192D"/>
    <w:rsid w:val="000E2895"/>
    <w:rsid w:val="000E5E73"/>
    <w:rsid w:val="000F4717"/>
    <w:rsid w:val="000F58E3"/>
    <w:rsid w:val="0010030F"/>
    <w:rsid w:val="001013AB"/>
    <w:rsid w:val="00114B55"/>
    <w:rsid w:val="00120AB6"/>
    <w:rsid w:val="00125FBC"/>
    <w:rsid w:val="0014056B"/>
    <w:rsid w:val="00141A24"/>
    <w:rsid w:val="001442EE"/>
    <w:rsid w:val="00154632"/>
    <w:rsid w:val="00157FED"/>
    <w:rsid w:val="00160243"/>
    <w:rsid w:val="00162059"/>
    <w:rsid w:val="00162946"/>
    <w:rsid w:val="001670F6"/>
    <w:rsid w:val="001735C0"/>
    <w:rsid w:val="00174D1D"/>
    <w:rsid w:val="001773A4"/>
    <w:rsid w:val="00177B40"/>
    <w:rsid w:val="001801BA"/>
    <w:rsid w:val="001812B6"/>
    <w:rsid w:val="001912DD"/>
    <w:rsid w:val="0019565B"/>
    <w:rsid w:val="001A0D84"/>
    <w:rsid w:val="001A0ECE"/>
    <w:rsid w:val="001A41F7"/>
    <w:rsid w:val="001A54A9"/>
    <w:rsid w:val="001A7D01"/>
    <w:rsid w:val="001B10A8"/>
    <w:rsid w:val="001B2317"/>
    <w:rsid w:val="001C2EB5"/>
    <w:rsid w:val="001C56A0"/>
    <w:rsid w:val="001D259C"/>
    <w:rsid w:val="001E7751"/>
    <w:rsid w:val="001F0D5C"/>
    <w:rsid w:val="001F2901"/>
    <w:rsid w:val="001F2E9D"/>
    <w:rsid w:val="00201E78"/>
    <w:rsid w:val="00204E54"/>
    <w:rsid w:val="002054F6"/>
    <w:rsid w:val="00214BEF"/>
    <w:rsid w:val="00225E76"/>
    <w:rsid w:val="00231D85"/>
    <w:rsid w:val="002465AE"/>
    <w:rsid w:val="00246A97"/>
    <w:rsid w:val="00252B79"/>
    <w:rsid w:val="00257A92"/>
    <w:rsid w:val="00262CAE"/>
    <w:rsid w:val="0026346D"/>
    <w:rsid w:val="00263514"/>
    <w:rsid w:val="00265E1B"/>
    <w:rsid w:val="002668C5"/>
    <w:rsid w:val="002830C4"/>
    <w:rsid w:val="002B47C0"/>
    <w:rsid w:val="002C75A9"/>
    <w:rsid w:val="002C7962"/>
    <w:rsid w:val="002D3725"/>
    <w:rsid w:val="002E120B"/>
    <w:rsid w:val="002F4D9B"/>
    <w:rsid w:val="002F7D15"/>
    <w:rsid w:val="0030017E"/>
    <w:rsid w:val="00300378"/>
    <w:rsid w:val="00302265"/>
    <w:rsid w:val="00311C6C"/>
    <w:rsid w:val="0032286F"/>
    <w:rsid w:val="00324689"/>
    <w:rsid w:val="00330ADB"/>
    <w:rsid w:val="0033311B"/>
    <w:rsid w:val="003347A4"/>
    <w:rsid w:val="00342B5B"/>
    <w:rsid w:val="00344FF1"/>
    <w:rsid w:val="00347F71"/>
    <w:rsid w:val="0035518D"/>
    <w:rsid w:val="003675F5"/>
    <w:rsid w:val="00372635"/>
    <w:rsid w:val="00372A29"/>
    <w:rsid w:val="003815A6"/>
    <w:rsid w:val="00382C2A"/>
    <w:rsid w:val="00393A3F"/>
    <w:rsid w:val="003978FD"/>
    <w:rsid w:val="003A5704"/>
    <w:rsid w:val="003B6CFB"/>
    <w:rsid w:val="003D1D69"/>
    <w:rsid w:val="003D4522"/>
    <w:rsid w:val="003E20C1"/>
    <w:rsid w:val="003E735C"/>
    <w:rsid w:val="003F2B5D"/>
    <w:rsid w:val="003F4F0B"/>
    <w:rsid w:val="003F6152"/>
    <w:rsid w:val="003F636F"/>
    <w:rsid w:val="00404704"/>
    <w:rsid w:val="0041018B"/>
    <w:rsid w:val="00410C54"/>
    <w:rsid w:val="0041174F"/>
    <w:rsid w:val="004179FB"/>
    <w:rsid w:val="004200E5"/>
    <w:rsid w:val="00420A15"/>
    <w:rsid w:val="00424F84"/>
    <w:rsid w:val="00425004"/>
    <w:rsid w:val="00430A6D"/>
    <w:rsid w:val="00430B41"/>
    <w:rsid w:val="00430CE3"/>
    <w:rsid w:val="00442CD6"/>
    <w:rsid w:val="00473D04"/>
    <w:rsid w:val="00475428"/>
    <w:rsid w:val="00482833"/>
    <w:rsid w:val="0048762B"/>
    <w:rsid w:val="00487F84"/>
    <w:rsid w:val="004919B5"/>
    <w:rsid w:val="004A2280"/>
    <w:rsid w:val="004A6270"/>
    <w:rsid w:val="004B34D6"/>
    <w:rsid w:val="004C3886"/>
    <w:rsid w:val="004C6BE4"/>
    <w:rsid w:val="004D62AB"/>
    <w:rsid w:val="004E11DF"/>
    <w:rsid w:val="004E77C0"/>
    <w:rsid w:val="004F463F"/>
    <w:rsid w:val="004F727E"/>
    <w:rsid w:val="005166AA"/>
    <w:rsid w:val="005235A5"/>
    <w:rsid w:val="00526770"/>
    <w:rsid w:val="00526C5F"/>
    <w:rsid w:val="00541D38"/>
    <w:rsid w:val="00542EE9"/>
    <w:rsid w:val="00546442"/>
    <w:rsid w:val="00553749"/>
    <w:rsid w:val="00562F3F"/>
    <w:rsid w:val="0056526A"/>
    <w:rsid w:val="00570644"/>
    <w:rsid w:val="00573B25"/>
    <w:rsid w:val="00577EA3"/>
    <w:rsid w:val="00580EE1"/>
    <w:rsid w:val="00581CEF"/>
    <w:rsid w:val="00595904"/>
    <w:rsid w:val="005A1FDA"/>
    <w:rsid w:val="005A49E8"/>
    <w:rsid w:val="005B2748"/>
    <w:rsid w:val="005C0C5C"/>
    <w:rsid w:val="005C317D"/>
    <w:rsid w:val="005C336B"/>
    <w:rsid w:val="005C3B32"/>
    <w:rsid w:val="005D2ADE"/>
    <w:rsid w:val="005D3DB0"/>
    <w:rsid w:val="005D54AB"/>
    <w:rsid w:val="005D5814"/>
    <w:rsid w:val="005D74C8"/>
    <w:rsid w:val="005E1404"/>
    <w:rsid w:val="005E2C30"/>
    <w:rsid w:val="005E3FE5"/>
    <w:rsid w:val="005F0D65"/>
    <w:rsid w:val="005F1341"/>
    <w:rsid w:val="005F327D"/>
    <w:rsid w:val="00602303"/>
    <w:rsid w:val="00605387"/>
    <w:rsid w:val="006053A9"/>
    <w:rsid w:val="00612EDC"/>
    <w:rsid w:val="00613BBE"/>
    <w:rsid w:val="00622833"/>
    <w:rsid w:val="00627AC0"/>
    <w:rsid w:val="00627E0E"/>
    <w:rsid w:val="0063028D"/>
    <w:rsid w:val="00635993"/>
    <w:rsid w:val="00640022"/>
    <w:rsid w:val="00644DC4"/>
    <w:rsid w:val="00655776"/>
    <w:rsid w:val="00656104"/>
    <w:rsid w:val="0065700C"/>
    <w:rsid w:val="00660364"/>
    <w:rsid w:val="006640D4"/>
    <w:rsid w:val="006645EA"/>
    <w:rsid w:val="00664B43"/>
    <w:rsid w:val="0066630A"/>
    <w:rsid w:val="006726BA"/>
    <w:rsid w:val="006744D3"/>
    <w:rsid w:val="0068279A"/>
    <w:rsid w:val="006B5ACA"/>
    <w:rsid w:val="006B7540"/>
    <w:rsid w:val="006C0B9C"/>
    <w:rsid w:val="006E035D"/>
    <w:rsid w:val="006E167F"/>
    <w:rsid w:val="006E55D1"/>
    <w:rsid w:val="006F3083"/>
    <w:rsid w:val="006F4EF0"/>
    <w:rsid w:val="006F6BA4"/>
    <w:rsid w:val="00710800"/>
    <w:rsid w:val="007247C2"/>
    <w:rsid w:val="00725CB9"/>
    <w:rsid w:val="00726016"/>
    <w:rsid w:val="0072769F"/>
    <w:rsid w:val="00731C90"/>
    <w:rsid w:val="00735014"/>
    <w:rsid w:val="007350D2"/>
    <w:rsid w:val="0074002B"/>
    <w:rsid w:val="0074378C"/>
    <w:rsid w:val="00745501"/>
    <w:rsid w:val="00745F4D"/>
    <w:rsid w:val="007562AB"/>
    <w:rsid w:val="007565DD"/>
    <w:rsid w:val="00757191"/>
    <w:rsid w:val="007612C4"/>
    <w:rsid w:val="00775E9B"/>
    <w:rsid w:val="00781107"/>
    <w:rsid w:val="00790220"/>
    <w:rsid w:val="00790F23"/>
    <w:rsid w:val="0079441C"/>
    <w:rsid w:val="0079524A"/>
    <w:rsid w:val="0079574C"/>
    <w:rsid w:val="007A4FE7"/>
    <w:rsid w:val="007B3D00"/>
    <w:rsid w:val="007C518C"/>
    <w:rsid w:val="007D1DB8"/>
    <w:rsid w:val="007E4A1E"/>
    <w:rsid w:val="007E6AE7"/>
    <w:rsid w:val="007F1A9F"/>
    <w:rsid w:val="007F2D41"/>
    <w:rsid w:val="007F5778"/>
    <w:rsid w:val="007F5916"/>
    <w:rsid w:val="007F6380"/>
    <w:rsid w:val="007F6DD1"/>
    <w:rsid w:val="0080415C"/>
    <w:rsid w:val="0080423C"/>
    <w:rsid w:val="0080518F"/>
    <w:rsid w:val="00805670"/>
    <w:rsid w:val="00811903"/>
    <w:rsid w:val="00822266"/>
    <w:rsid w:val="008300C4"/>
    <w:rsid w:val="00841C72"/>
    <w:rsid w:val="00842013"/>
    <w:rsid w:val="00847D0A"/>
    <w:rsid w:val="008577F3"/>
    <w:rsid w:val="00861A7C"/>
    <w:rsid w:val="00870CF4"/>
    <w:rsid w:val="00871B1C"/>
    <w:rsid w:val="00875737"/>
    <w:rsid w:val="00875C0F"/>
    <w:rsid w:val="008944C4"/>
    <w:rsid w:val="00894669"/>
    <w:rsid w:val="008A3889"/>
    <w:rsid w:val="008A47A8"/>
    <w:rsid w:val="008B08B8"/>
    <w:rsid w:val="008B5DBE"/>
    <w:rsid w:val="008B66D6"/>
    <w:rsid w:val="008B677F"/>
    <w:rsid w:val="008B77E4"/>
    <w:rsid w:val="008C52F7"/>
    <w:rsid w:val="008C6441"/>
    <w:rsid w:val="008C64E2"/>
    <w:rsid w:val="008C6F0E"/>
    <w:rsid w:val="008D32E9"/>
    <w:rsid w:val="008D4790"/>
    <w:rsid w:val="008E113E"/>
    <w:rsid w:val="008E3CCE"/>
    <w:rsid w:val="008F1573"/>
    <w:rsid w:val="008F390C"/>
    <w:rsid w:val="008F3930"/>
    <w:rsid w:val="00901F95"/>
    <w:rsid w:val="00923BD6"/>
    <w:rsid w:val="009250B0"/>
    <w:rsid w:val="00935913"/>
    <w:rsid w:val="0094106A"/>
    <w:rsid w:val="00952FB0"/>
    <w:rsid w:val="0095351C"/>
    <w:rsid w:val="0095583F"/>
    <w:rsid w:val="00960EC2"/>
    <w:rsid w:val="00965F7D"/>
    <w:rsid w:val="00971211"/>
    <w:rsid w:val="0097371D"/>
    <w:rsid w:val="00980660"/>
    <w:rsid w:val="00984D07"/>
    <w:rsid w:val="0099286B"/>
    <w:rsid w:val="009940B0"/>
    <w:rsid w:val="009A1376"/>
    <w:rsid w:val="009A29F2"/>
    <w:rsid w:val="009A34C6"/>
    <w:rsid w:val="009B03E5"/>
    <w:rsid w:val="009B0C98"/>
    <w:rsid w:val="009B7651"/>
    <w:rsid w:val="009C08DD"/>
    <w:rsid w:val="009D355C"/>
    <w:rsid w:val="009D387C"/>
    <w:rsid w:val="009E20E2"/>
    <w:rsid w:val="009F740E"/>
    <w:rsid w:val="00A008A4"/>
    <w:rsid w:val="00A02CEA"/>
    <w:rsid w:val="00A20029"/>
    <w:rsid w:val="00A253E9"/>
    <w:rsid w:val="00A26582"/>
    <w:rsid w:val="00A3020A"/>
    <w:rsid w:val="00A329F9"/>
    <w:rsid w:val="00A359FD"/>
    <w:rsid w:val="00A36781"/>
    <w:rsid w:val="00A43328"/>
    <w:rsid w:val="00A52F32"/>
    <w:rsid w:val="00A6095A"/>
    <w:rsid w:val="00A637D4"/>
    <w:rsid w:val="00A71AFC"/>
    <w:rsid w:val="00A77ADF"/>
    <w:rsid w:val="00A869CB"/>
    <w:rsid w:val="00AA057F"/>
    <w:rsid w:val="00AA09D5"/>
    <w:rsid w:val="00AA26D2"/>
    <w:rsid w:val="00AA477A"/>
    <w:rsid w:val="00AB562C"/>
    <w:rsid w:val="00AB6581"/>
    <w:rsid w:val="00AB7E72"/>
    <w:rsid w:val="00AC1E5C"/>
    <w:rsid w:val="00AC4E18"/>
    <w:rsid w:val="00AC5307"/>
    <w:rsid w:val="00AC7192"/>
    <w:rsid w:val="00AC7538"/>
    <w:rsid w:val="00AD25E4"/>
    <w:rsid w:val="00AD6201"/>
    <w:rsid w:val="00AF0DDB"/>
    <w:rsid w:val="00AF24B6"/>
    <w:rsid w:val="00B06474"/>
    <w:rsid w:val="00B1335E"/>
    <w:rsid w:val="00B2043D"/>
    <w:rsid w:val="00B23CEF"/>
    <w:rsid w:val="00B269A2"/>
    <w:rsid w:val="00B40C57"/>
    <w:rsid w:val="00B443A5"/>
    <w:rsid w:val="00B50D1B"/>
    <w:rsid w:val="00B557D9"/>
    <w:rsid w:val="00B64E87"/>
    <w:rsid w:val="00B6586E"/>
    <w:rsid w:val="00B87DF6"/>
    <w:rsid w:val="00B961A8"/>
    <w:rsid w:val="00BA0EAE"/>
    <w:rsid w:val="00BA4710"/>
    <w:rsid w:val="00BA6A52"/>
    <w:rsid w:val="00BB5442"/>
    <w:rsid w:val="00BC0855"/>
    <w:rsid w:val="00BC19EC"/>
    <w:rsid w:val="00BC69EE"/>
    <w:rsid w:val="00BD48BE"/>
    <w:rsid w:val="00BE54D1"/>
    <w:rsid w:val="00BF57F1"/>
    <w:rsid w:val="00C15A6F"/>
    <w:rsid w:val="00C25F99"/>
    <w:rsid w:val="00C30010"/>
    <w:rsid w:val="00C3407E"/>
    <w:rsid w:val="00C4528F"/>
    <w:rsid w:val="00C47A5B"/>
    <w:rsid w:val="00C53120"/>
    <w:rsid w:val="00C60239"/>
    <w:rsid w:val="00C626CF"/>
    <w:rsid w:val="00C67CDC"/>
    <w:rsid w:val="00C711F1"/>
    <w:rsid w:val="00C73777"/>
    <w:rsid w:val="00C73907"/>
    <w:rsid w:val="00C848C1"/>
    <w:rsid w:val="00C85E44"/>
    <w:rsid w:val="00CA0044"/>
    <w:rsid w:val="00CA518D"/>
    <w:rsid w:val="00CA7C20"/>
    <w:rsid w:val="00CB5BDD"/>
    <w:rsid w:val="00CB6ED4"/>
    <w:rsid w:val="00CD7696"/>
    <w:rsid w:val="00CE06B3"/>
    <w:rsid w:val="00CE53CB"/>
    <w:rsid w:val="00CF5D49"/>
    <w:rsid w:val="00D05252"/>
    <w:rsid w:val="00D059D1"/>
    <w:rsid w:val="00D1058E"/>
    <w:rsid w:val="00D208F4"/>
    <w:rsid w:val="00D213EA"/>
    <w:rsid w:val="00D25151"/>
    <w:rsid w:val="00D252E4"/>
    <w:rsid w:val="00D352EB"/>
    <w:rsid w:val="00D359D1"/>
    <w:rsid w:val="00D53450"/>
    <w:rsid w:val="00D60345"/>
    <w:rsid w:val="00D62B78"/>
    <w:rsid w:val="00D64FDE"/>
    <w:rsid w:val="00D70646"/>
    <w:rsid w:val="00D72272"/>
    <w:rsid w:val="00D73406"/>
    <w:rsid w:val="00D80DC0"/>
    <w:rsid w:val="00D92056"/>
    <w:rsid w:val="00DC0498"/>
    <w:rsid w:val="00DC47C4"/>
    <w:rsid w:val="00DD0A70"/>
    <w:rsid w:val="00DD39D6"/>
    <w:rsid w:val="00DE062D"/>
    <w:rsid w:val="00DE0964"/>
    <w:rsid w:val="00DE0F6E"/>
    <w:rsid w:val="00DE444E"/>
    <w:rsid w:val="00DE46FA"/>
    <w:rsid w:val="00DE66B6"/>
    <w:rsid w:val="00DE6C2F"/>
    <w:rsid w:val="00DE7C38"/>
    <w:rsid w:val="00DF1F61"/>
    <w:rsid w:val="00DF6D34"/>
    <w:rsid w:val="00E1257F"/>
    <w:rsid w:val="00E127EB"/>
    <w:rsid w:val="00E12A87"/>
    <w:rsid w:val="00E1649D"/>
    <w:rsid w:val="00E22C0A"/>
    <w:rsid w:val="00E31160"/>
    <w:rsid w:val="00E33409"/>
    <w:rsid w:val="00E3367D"/>
    <w:rsid w:val="00E4060A"/>
    <w:rsid w:val="00E40D18"/>
    <w:rsid w:val="00E43B2E"/>
    <w:rsid w:val="00E43B31"/>
    <w:rsid w:val="00E456F1"/>
    <w:rsid w:val="00E45EBD"/>
    <w:rsid w:val="00E46F87"/>
    <w:rsid w:val="00E60E4F"/>
    <w:rsid w:val="00E617B3"/>
    <w:rsid w:val="00E65A42"/>
    <w:rsid w:val="00E67369"/>
    <w:rsid w:val="00E93BBD"/>
    <w:rsid w:val="00E9780C"/>
    <w:rsid w:val="00EA2769"/>
    <w:rsid w:val="00EA35A8"/>
    <w:rsid w:val="00EA7F9D"/>
    <w:rsid w:val="00EB0BE6"/>
    <w:rsid w:val="00EB19C4"/>
    <w:rsid w:val="00EB635E"/>
    <w:rsid w:val="00EC430D"/>
    <w:rsid w:val="00ED32B6"/>
    <w:rsid w:val="00ED3611"/>
    <w:rsid w:val="00ED71DB"/>
    <w:rsid w:val="00EE202C"/>
    <w:rsid w:val="00EE3742"/>
    <w:rsid w:val="00EE431F"/>
    <w:rsid w:val="00EF173A"/>
    <w:rsid w:val="00EF1840"/>
    <w:rsid w:val="00EF2874"/>
    <w:rsid w:val="00F1214F"/>
    <w:rsid w:val="00F14C40"/>
    <w:rsid w:val="00F26F06"/>
    <w:rsid w:val="00F3049E"/>
    <w:rsid w:val="00F33238"/>
    <w:rsid w:val="00F336C4"/>
    <w:rsid w:val="00F35829"/>
    <w:rsid w:val="00F37E30"/>
    <w:rsid w:val="00F42D8E"/>
    <w:rsid w:val="00F51320"/>
    <w:rsid w:val="00F562A5"/>
    <w:rsid w:val="00F64423"/>
    <w:rsid w:val="00F71806"/>
    <w:rsid w:val="00F7267A"/>
    <w:rsid w:val="00F750A5"/>
    <w:rsid w:val="00F750D1"/>
    <w:rsid w:val="00F75925"/>
    <w:rsid w:val="00F75A1B"/>
    <w:rsid w:val="00F829AA"/>
    <w:rsid w:val="00F85AEC"/>
    <w:rsid w:val="00F8641A"/>
    <w:rsid w:val="00F95516"/>
    <w:rsid w:val="00FA78AE"/>
    <w:rsid w:val="00FA7C3D"/>
    <w:rsid w:val="00FB0DA1"/>
    <w:rsid w:val="00FC2C06"/>
    <w:rsid w:val="00FD066C"/>
    <w:rsid w:val="00FD1CCF"/>
    <w:rsid w:val="00FD2CA6"/>
    <w:rsid w:val="00FD3643"/>
    <w:rsid w:val="00FD5BDB"/>
    <w:rsid w:val="00FE3EC1"/>
    <w:rsid w:val="00FE75C9"/>
    <w:rsid w:val="00FF60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358BAF"/>
  <w15:docId w15:val="{7D53FFCE-F576-4259-8A33-C05B16199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iPriority="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4">
    <w:name w:val="heading 4"/>
    <w:basedOn w:val="Normal"/>
    <w:link w:val="Heading4Char"/>
    <w:uiPriority w:val="1"/>
    <w:qFormat/>
    <w:rsid w:val="00010A10"/>
    <w:pPr>
      <w:widowControl w:val="0"/>
      <w:ind w:left="100"/>
      <w:outlineLvl w:val="3"/>
    </w:pPr>
    <w:rPr>
      <w:rFonts w:ascii="Arial" w:eastAsia="Arial" w:hAnsi="Arial"/>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ormFieldCaption">
    <w:name w:val="Form Field Caption"/>
    <w:basedOn w:val="Normal"/>
    <w:rsid w:val="00177B40"/>
    <w:pPr>
      <w:tabs>
        <w:tab w:val="left" w:pos="270"/>
      </w:tabs>
      <w:autoSpaceDE w:val="0"/>
      <w:autoSpaceDN w:val="0"/>
    </w:pPr>
    <w:rPr>
      <w:rFonts w:ascii="Arial" w:hAnsi="Arial" w:cs="Arial"/>
      <w:sz w:val="16"/>
      <w:szCs w:val="16"/>
    </w:rPr>
  </w:style>
  <w:style w:type="character" w:styleId="FollowedHyperlink">
    <w:name w:val="FollowedHyperlink"/>
    <w:rsid w:val="007A4FE7"/>
    <w:rPr>
      <w:color w:val="800080"/>
      <w:u w:val="single"/>
    </w:rPr>
  </w:style>
  <w:style w:type="paragraph" w:styleId="Header">
    <w:name w:val="header"/>
    <w:basedOn w:val="Normal"/>
    <w:link w:val="HeaderChar"/>
    <w:uiPriority w:val="99"/>
    <w:rsid w:val="005B2748"/>
    <w:pPr>
      <w:tabs>
        <w:tab w:val="center" w:pos="4680"/>
        <w:tab w:val="right" w:pos="9360"/>
      </w:tabs>
    </w:pPr>
  </w:style>
  <w:style w:type="character" w:customStyle="1" w:styleId="HeaderChar">
    <w:name w:val="Header Char"/>
    <w:link w:val="Header"/>
    <w:uiPriority w:val="99"/>
    <w:rsid w:val="005B2748"/>
    <w:rPr>
      <w:sz w:val="24"/>
      <w:szCs w:val="24"/>
    </w:rPr>
  </w:style>
  <w:style w:type="paragraph" w:styleId="Footer">
    <w:name w:val="footer"/>
    <w:basedOn w:val="Normal"/>
    <w:link w:val="FooterChar"/>
    <w:uiPriority w:val="99"/>
    <w:rsid w:val="005B2748"/>
    <w:pPr>
      <w:tabs>
        <w:tab w:val="center" w:pos="4680"/>
        <w:tab w:val="right" w:pos="9360"/>
      </w:tabs>
    </w:pPr>
  </w:style>
  <w:style w:type="character" w:customStyle="1" w:styleId="FooterChar">
    <w:name w:val="Footer Char"/>
    <w:link w:val="Footer"/>
    <w:uiPriority w:val="99"/>
    <w:rsid w:val="005B2748"/>
    <w:rPr>
      <w:sz w:val="24"/>
      <w:szCs w:val="24"/>
    </w:rPr>
  </w:style>
  <w:style w:type="character" w:styleId="Hyperlink">
    <w:name w:val="Hyperlink"/>
    <w:rsid w:val="00553749"/>
    <w:rPr>
      <w:color w:val="0000FF"/>
      <w:u w:val="single"/>
    </w:rPr>
  </w:style>
  <w:style w:type="paragraph" w:styleId="NormalWeb">
    <w:name w:val="Normal (Web)"/>
    <w:basedOn w:val="Normal"/>
    <w:rsid w:val="00553749"/>
    <w:pPr>
      <w:spacing w:before="100" w:beforeAutospacing="1" w:after="100" w:afterAutospacing="1"/>
    </w:pPr>
    <w:rPr>
      <w:rFonts w:ascii="Verdana" w:hAnsi="Verdana"/>
    </w:rPr>
  </w:style>
  <w:style w:type="paragraph" w:styleId="BalloonText">
    <w:name w:val="Balloon Text"/>
    <w:basedOn w:val="Normal"/>
    <w:link w:val="BalloonTextChar"/>
    <w:rsid w:val="00430A6D"/>
    <w:rPr>
      <w:rFonts w:ascii="Tahoma" w:hAnsi="Tahoma" w:cs="Tahoma"/>
      <w:sz w:val="16"/>
      <w:szCs w:val="16"/>
    </w:rPr>
  </w:style>
  <w:style w:type="character" w:customStyle="1" w:styleId="BalloonTextChar">
    <w:name w:val="Balloon Text Char"/>
    <w:link w:val="BalloonText"/>
    <w:rsid w:val="00430A6D"/>
    <w:rPr>
      <w:rFonts w:ascii="Tahoma" w:hAnsi="Tahoma" w:cs="Tahoma"/>
      <w:sz w:val="16"/>
      <w:szCs w:val="16"/>
    </w:rPr>
  </w:style>
  <w:style w:type="character" w:styleId="CommentReference">
    <w:name w:val="annotation reference"/>
    <w:rsid w:val="002C75A9"/>
    <w:rPr>
      <w:sz w:val="16"/>
      <w:szCs w:val="16"/>
    </w:rPr>
  </w:style>
  <w:style w:type="paragraph" w:styleId="CommentText">
    <w:name w:val="annotation text"/>
    <w:basedOn w:val="Normal"/>
    <w:link w:val="CommentTextChar"/>
    <w:rsid w:val="002C75A9"/>
    <w:rPr>
      <w:sz w:val="20"/>
      <w:szCs w:val="20"/>
    </w:rPr>
  </w:style>
  <w:style w:type="character" w:customStyle="1" w:styleId="CommentTextChar">
    <w:name w:val="Comment Text Char"/>
    <w:basedOn w:val="DefaultParagraphFont"/>
    <w:link w:val="CommentText"/>
    <w:rsid w:val="002C75A9"/>
  </w:style>
  <w:style w:type="paragraph" w:styleId="CommentSubject">
    <w:name w:val="annotation subject"/>
    <w:basedOn w:val="CommentText"/>
    <w:next w:val="CommentText"/>
    <w:link w:val="CommentSubjectChar"/>
    <w:rsid w:val="002C75A9"/>
    <w:rPr>
      <w:b/>
      <w:bCs/>
    </w:rPr>
  </w:style>
  <w:style w:type="character" w:customStyle="1" w:styleId="CommentSubjectChar">
    <w:name w:val="Comment Subject Char"/>
    <w:link w:val="CommentSubject"/>
    <w:rsid w:val="002C75A9"/>
    <w:rPr>
      <w:b/>
      <w:bCs/>
    </w:rPr>
  </w:style>
  <w:style w:type="character" w:customStyle="1" w:styleId="Heading4Char">
    <w:name w:val="Heading 4 Char"/>
    <w:link w:val="Heading4"/>
    <w:uiPriority w:val="1"/>
    <w:rsid w:val="00010A10"/>
    <w:rPr>
      <w:rFonts w:ascii="Arial" w:eastAsia="Arial" w:hAnsi="Arial"/>
      <w:b/>
      <w:bCs/>
      <w:sz w:val="22"/>
      <w:szCs w:val="22"/>
    </w:rPr>
  </w:style>
  <w:style w:type="paragraph" w:styleId="BodyText">
    <w:name w:val="Body Text"/>
    <w:basedOn w:val="Normal"/>
    <w:link w:val="BodyTextChar"/>
    <w:uiPriority w:val="1"/>
    <w:qFormat/>
    <w:rsid w:val="00010A10"/>
    <w:pPr>
      <w:widowControl w:val="0"/>
      <w:ind w:left="100"/>
    </w:pPr>
    <w:rPr>
      <w:rFonts w:ascii="Arial" w:eastAsia="Arial" w:hAnsi="Arial"/>
      <w:sz w:val="22"/>
      <w:szCs w:val="22"/>
    </w:rPr>
  </w:style>
  <w:style w:type="character" w:customStyle="1" w:styleId="BodyTextChar">
    <w:name w:val="Body Text Char"/>
    <w:link w:val="BodyText"/>
    <w:uiPriority w:val="1"/>
    <w:rsid w:val="00010A10"/>
    <w:rPr>
      <w:rFonts w:ascii="Arial" w:eastAsia="Arial" w:hAnsi="Arial"/>
      <w:sz w:val="22"/>
      <w:szCs w:val="22"/>
    </w:rPr>
  </w:style>
  <w:style w:type="paragraph" w:styleId="Revision">
    <w:name w:val="Revision"/>
    <w:hidden/>
    <w:uiPriority w:val="99"/>
    <w:semiHidden/>
    <w:rsid w:val="002465AE"/>
    <w:rPr>
      <w:sz w:val="24"/>
      <w:szCs w:val="24"/>
    </w:rPr>
  </w:style>
  <w:style w:type="paragraph" w:customStyle="1" w:styleId="Default">
    <w:name w:val="Default"/>
    <w:rsid w:val="00DE444E"/>
    <w:pPr>
      <w:autoSpaceDE w:val="0"/>
      <w:autoSpaceDN w:val="0"/>
      <w:adjustRightInd w:val="0"/>
    </w:pPr>
    <w:rPr>
      <w:rFonts w:eastAsiaTheme="minorEastAsia"/>
      <w:color w:val="000000"/>
      <w:sz w:val="24"/>
      <w:szCs w:val="24"/>
    </w:rPr>
  </w:style>
  <w:style w:type="paragraph" w:styleId="ListParagraph">
    <w:name w:val="List Paragraph"/>
    <w:basedOn w:val="Normal"/>
    <w:uiPriority w:val="34"/>
    <w:qFormat/>
    <w:rsid w:val="00923BD6"/>
    <w:pPr>
      <w:spacing w:before="100" w:beforeAutospacing="1" w:after="100" w:afterAutospacing="1"/>
    </w:pPr>
    <w:rPr>
      <w:rFonts w:ascii="Calibri" w:eastAsiaTheme="minorHAnsi" w:hAnsi="Calibri" w:cs="Calibri"/>
      <w:sz w:val="22"/>
      <w:szCs w:val="22"/>
    </w:rPr>
  </w:style>
  <w:style w:type="table" w:styleId="TableGrid">
    <w:name w:val="Table Grid"/>
    <w:basedOn w:val="TableNormal"/>
    <w:rsid w:val="002B47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0057169">
      <w:bodyDiv w:val="1"/>
      <w:marLeft w:val="0"/>
      <w:marRight w:val="0"/>
      <w:marTop w:val="0"/>
      <w:marBottom w:val="0"/>
      <w:divBdr>
        <w:top w:val="none" w:sz="0" w:space="0" w:color="auto"/>
        <w:left w:val="none" w:sz="0" w:space="0" w:color="auto"/>
        <w:bottom w:val="none" w:sz="0" w:space="0" w:color="auto"/>
        <w:right w:val="none" w:sz="0" w:space="0" w:color="auto"/>
      </w:divBdr>
    </w:div>
    <w:div w:id="1015115571">
      <w:bodyDiv w:val="1"/>
      <w:marLeft w:val="0"/>
      <w:marRight w:val="0"/>
      <w:marTop w:val="0"/>
      <w:marBottom w:val="0"/>
      <w:divBdr>
        <w:top w:val="none" w:sz="0" w:space="0" w:color="auto"/>
        <w:left w:val="none" w:sz="0" w:space="0" w:color="auto"/>
        <w:bottom w:val="none" w:sz="0" w:space="0" w:color="auto"/>
        <w:right w:val="none" w:sz="0" w:space="0" w:color="auto"/>
      </w:divBdr>
    </w:div>
    <w:div w:id="1384328215">
      <w:bodyDiv w:val="1"/>
      <w:marLeft w:val="0"/>
      <w:marRight w:val="0"/>
      <w:marTop w:val="0"/>
      <w:marBottom w:val="0"/>
      <w:divBdr>
        <w:top w:val="none" w:sz="0" w:space="0" w:color="auto"/>
        <w:left w:val="none" w:sz="0" w:space="0" w:color="auto"/>
        <w:bottom w:val="none" w:sz="0" w:space="0" w:color="auto"/>
        <w:right w:val="none" w:sz="0" w:space="0" w:color="auto"/>
      </w:divBdr>
    </w:div>
    <w:div w:id="1724214879">
      <w:bodyDiv w:val="1"/>
      <w:marLeft w:val="0"/>
      <w:marRight w:val="0"/>
      <w:marTop w:val="0"/>
      <w:marBottom w:val="0"/>
      <w:divBdr>
        <w:top w:val="none" w:sz="0" w:space="0" w:color="auto"/>
        <w:left w:val="none" w:sz="0" w:space="0" w:color="auto"/>
        <w:bottom w:val="none" w:sz="0" w:space="0" w:color="auto"/>
        <w:right w:val="none" w:sz="0" w:space="0" w:color="auto"/>
      </w:divBdr>
    </w:div>
    <w:div w:id="1743022210">
      <w:bodyDiv w:val="1"/>
      <w:marLeft w:val="0"/>
      <w:marRight w:val="0"/>
      <w:marTop w:val="0"/>
      <w:marBottom w:val="0"/>
      <w:divBdr>
        <w:top w:val="none" w:sz="0" w:space="0" w:color="auto"/>
        <w:left w:val="none" w:sz="0" w:space="0" w:color="auto"/>
        <w:bottom w:val="none" w:sz="0" w:space="0" w:color="auto"/>
        <w:right w:val="none" w:sz="0" w:space="0" w:color="auto"/>
      </w:divBdr>
    </w:div>
    <w:div w:id="1750225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microsoft.com/office/2011/relationships/people" Target="peop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765315-CDC7-43F5-A377-95F9F637CC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2</Pages>
  <Words>438</Words>
  <Characters>2503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RESOURCES</vt:lpstr>
    </vt:vector>
  </TitlesOfParts>
  <Company>The Maxwell School</Company>
  <LinksUpToDate>false</LinksUpToDate>
  <CharactersWithSpaces>2936</CharactersWithSpaces>
  <SharedDoc>false</SharedDoc>
  <HLinks>
    <vt:vector size="18" baseType="variant">
      <vt:variant>
        <vt:i4>3866666</vt:i4>
      </vt:variant>
      <vt:variant>
        <vt:i4>6</vt:i4>
      </vt:variant>
      <vt:variant>
        <vt:i4>0</vt:i4>
      </vt:variant>
      <vt:variant>
        <vt:i4>5</vt:i4>
      </vt:variant>
      <vt:variant>
        <vt:lpwstr>http://falk.syr.edu/SportManagement/CornCarterCareerCenter.aspx</vt:lpwstr>
      </vt:variant>
      <vt:variant>
        <vt:lpwstr/>
      </vt:variant>
      <vt:variant>
        <vt:i4>5963895</vt:i4>
      </vt:variant>
      <vt:variant>
        <vt:i4>3</vt:i4>
      </vt:variant>
      <vt:variant>
        <vt:i4>0</vt:i4>
      </vt:variant>
      <vt:variant>
        <vt:i4>5</vt:i4>
      </vt:variant>
      <vt:variant>
        <vt:lpwstr>http://falk.syr.edu/ChildFamilyStudies/Jack_Reilly.aspx</vt:lpwstr>
      </vt:variant>
      <vt:variant>
        <vt:lpwstr/>
      </vt:variant>
      <vt:variant>
        <vt:i4>5505043</vt:i4>
      </vt:variant>
      <vt:variant>
        <vt:i4>0</vt:i4>
      </vt:variant>
      <vt:variant>
        <vt:i4>0</vt:i4>
      </vt:variant>
      <vt:variant>
        <vt:i4>5</vt:i4>
      </vt:variant>
      <vt:variant>
        <vt:lpwstr>http://agingcenters.org/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RESOURCES</dc:title>
  <dc:creator>Kelly Bogart</dc:creator>
  <cp:lastModifiedBy>Jill S Ferguson</cp:lastModifiedBy>
  <cp:revision>4</cp:revision>
  <cp:lastPrinted>2019-05-22T14:52:00Z</cp:lastPrinted>
  <dcterms:created xsi:type="dcterms:W3CDTF">2020-07-22T17:18:00Z</dcterms:created>
  <dcterms:modified xsi:type="dcterms:W3CDTF">2020-07-22T20:33:00Z</dcterms:modified>
</cp:coreProperties>
</file>